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944C58">
      <w:pPr>
        <w:jc w:val="center"/>
        <w:rPr>
          <w:rFonts w:ascii="Arial" w:hAnsi="Arial" w:cs="Arial"/>
          <w:b/>
          <w:color w:val="000000"/>
          <w:sz w:val="22"/>
          <w:szCs w:val="22"/>
        </w:rPr>
      </w:pPr>
      <w:r w:rsidRPr="00944C58">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02.7pt">
            <v:imagedata r:id="rId8" o:title=""/>
          </v:shape>
        </w:pict>
      </w:r>
    </w:p>
    <w:p w:rsidR="00555AB4" w:rsidRPr="00C92488" w:rsidRDefault="00555AB4">
      <w:pPr>
        <w:jc w:val="center"/>
        <w:rPr>
          <w:rFonts w:ascii="Arial" w:hAnsi="Arial" w:cs="Arial"/>
          <w:b/>
          <w:color w:val="000000"/>
          <w:sz w:val="22"/>
          <w:szCs w:val="22"/>
        </w:rPr>
      </w:pPr>
    </w:p>
    <w:p w:rsidR="00555AB4" w:rsidRPr="00C92488" w:rsidRDefault="00944C58" w:rsidP="00475AFC">
      <w:pPr>
        <w:rPr>
          <w:rFonts w:ascii="Arial" w:hAnsi="Arial" w:cs="Arial"/>
          <w:sz w:val="22"/>
          <w:szCs w:val="22"/>
        </w:rPr>
      </w:pPr>
      <w:r w:rsidRPr="00944C58">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695828" w:rsidRDefault="00695828" w:rsidP="007601EC">
      <w:pPr>
        <w:jc w:val="center"/>
      </w:pPr>
    </w:p>
    <w:p w:rsidR="00695828" w:rsidRDefault="00695828" w:rsidP="007601EC">
      <w:pPr>
        <w:jc w:val="center"/>
      </w:pPr>
    </w:p>
    <w:p w:rsidR="007601EC" w:rsidRPr="004301DF" w:rsidRDefault="007601EC" w:rsidP="007601EC">
      <w:pPr>
        <w:ind w:left="4320" w:firstLine="720"/>
      </w:pPr>
      <w:r>
        <w:tab/>
      </w:r>
      <w:r>
        <w:tab/>
      </w:r>
      <w:r>
        <w:tab/>
      </w:r>
    </w:p>
    <w:p w:rsidR="007601EC" w:rsidRDefault="00705F35" w:rsidP="007601EC">
      <w:pPr>
        <w:pBdr>
          <w:bottom w:val="dotted" w:sz="24" w:space="1" w:color="auto"/>
        </w:pBdr>
        <w:jc w:val="center"/>
        <w:rPr>
          <w:b/>
          <w:sz w:val="32"/>
          <w:szCs w:val="32"/>
        </w:rPr>
      </w:pPr>
      <w:r>
        <w:rPr>
          <w:b/>
          <w:sz w:val="32"/>
          <w:szCs w:val="32"/>
        </w:rPr>
        <w:t xml:space="preserve">REQUEST FOR </w:t>
      </w:r>
      <w:r w:rsidR="007601EC">
        <w:rPr>
          <w:b/>
          <w:sz w:val="32"/>
          <w:szCs w:val="32"/>
        </w:rPr>
        <w:t>COMPETITIVE SEALED PROPOSALS</w:t>
      </w: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r w:rsidR="00C71D68">
        <w:rPr>
          <w:rFonts w:ascii="Arial" w:hAnsi="Arial" w:cs="Arial"/>
          <w:b/>
          <w:sz w:val="24"/>
          <w:szCs w:val="24"/>
        </w:rPr>
        <w:t xml:space="preserve">Electronics Center </w:t>
      </w:r>
      <w:proofErr w:type="spellStart"/>
      <w:r w:rsidR="00C71D68">
        <w:rPr>
          <w:rFonts w:ascii="Arial" w:hAnsi="Arial" w:cs="Arial"/>
          <w:b/>
          <w:sz w:val="24"/>
          <w:szCs w:val="24"/>
        </w:rPr>
        <w:t>Rm</w:t>
      </w:r>
      <w:proofErr w:type="spellEnd"/>
      <w:r w:rsidR="00C71D68">
        <w:rPr>
          <w:rFonts w:ascii="Arial" w:hAnsi="Arial" w:cs="Arial"/>
          <w:b/>
          <w:sz w:val="24"/>
          <w:szCs w:val="24"/>
        </w:rPr>
        <w:t xml:space="preserve"> 137 Renovation</w:t>
      </w:r>
      <w:r w:rsidR="00255DD6">
        <w:rPr>
          <w:rFonts w:ascii="Arial" w:hAnsi="Arial" w:cs="Arial"/>
          <w:b/>
          <w:sz w:val="24"/>
          <w:szCs w:val="24"/>
        </w:rPr>
        <w:t xml:space="preserve"> </w:t>
      </w:r>
    </w:p>
    <w:p w:rsidR="007601EC" w:rsidRPr="00722D5D" w:rsidRDefault="007601EC" w:rsidP="007601EC">
      <w:pPr>
        <w:pBdr>
          <w:bottom w:val="dotted" w:sz="24" w:space="1" w:color="auto"/>
        </w:pBdr>
        <w:jc w:val="center"/>
        <w:rPr>
          <w:b/>
          <w:sz w:val="28"/>
          <w:szCs w:val="28"/>
        </w:rPr>
      </w:pPr>
      <w:r>
        <w:rPr>
          <w:b/>
          <w:sz w:val="28"/>
          <w:szCs w:val="28"/>
        </w:rPr>
        <w:t>Proposal # RFP</w:t>
      </w:r>
      <w:r w:rsidR="00AE1992">
        <w:rPr>
          <w:b/>
          <w:sz w:val="28"/>
          <w:szCs w:val="28"/>
        </w:rPr>
        <w:t>1215W</w:t>
      </w:r>
    </w:p>
    <w:p w:rsidR="007601EC" w:rsidRDefault="0029717F" w:rsidP="007601EC">
      <w:pPr>
        <w:pBdr>
          <w:bottom w:val="dotted" w:sz="24" w:space="1" w:color="auto"/>
        </w:pBdr>
        <w:jc w:val="center"/>
        <w:rPr>
          <w:b/>
          <w:sz w:val="28"/>
          <w:szCs w:val="28"/>
        </w:rPr>
      </w:pPr>
      <w:r>
        <w:rPr>
          <w:b/>
          <w:sz w:val="28"/>
          <w:szCs w:val="28"/>
        </w:rPr>
        <w:t xml:space="preserve">Posted Date: </w:t>
      </w:r>
      <w:r w:rsidR="00AE1992">
        <w:rPr>
          <w:b/>
          <w:sz w:val="28"/>
          <w:szCs w:val="28"/>
        </w:rPr>
        <w:t>10-25-2011</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 xml:space="preserve">Closing Date/Time:  </w:t>
      </w:r>
      <w:r w:rsidR="006C5795">
        <w:rPr>
          <w:b/>
          <w:bCs/>
          <w:color w:val="C00000"/>
          <w:sz w:val="24"/>
          <w:szCs w:val="24"/>
        </w:rPr>
        <w:t>November 10</w:t>
      </w:r>
      <w:r w:rsidRPr="00CF53F5">
        <w:rPr>
          <w:b/>
          <w:bCs/>
          <w:color w:val="C00000"/>
          <w:sz w:val="24"/>
          <w:szCs w:val="24"/>
        </w:rPr>
        <w:t>, 2011</w:t>
      </w:r>
      <w:r w:rsidR="00F15BEB">
        <w:rPr>
          <w:b/>
          <w:bCs/>
          <w:sz w:val="24"/>
          <w:szCs w:val="24"/>
        </w:rPr>
        <w:t xml:space="preserve"> </w:t>
      </w:r>
      <w:r w:rsidRPr="00893980">
        <w:rPr>
          <w:b/>
          <w:bCs/>
          <w:sz w:val="24"/>
          <w:szCs w:val="24"/>
        </w:rPr>
        <w:t>at 3:00 PM Central Standard Time</w:t>
      </w:r>
      <w:r w:rsidRPr="00893980">
        <w:rPr>
          <w:bCs/>
          <w:sz w:val="24"/>
          <w:szCs w:val="24"/>
        </w:rPr>
        <w:t xml:space="preserve"> </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AE1992" w:rsidRDefault="007601EC" w:rsidP="007601EC">
      <w:pPr>
        <w:rPr>
          <w:rFonts w:ascii="Arial" w:hAnsi="Arial" w:cs="Arial"/>
          <w:bCs/>
        </w:rPr>
      </w:pPr>
      <w:r w:rsidRPr="00AE1992">
        <w:rPr>
          <w:rFonts w:ascii="Arial" w:hAnsi="Arial" w:cs="Arial"/>
          <w:bCs/>
        </w:rPr>
        <w:t xml:space="preserve">Texas State Technical College                              </w:t>
      </w:r>
      <w:r w:rsidRPr="00AE1992">
        <w:rPr>
          <w:rFonts w:ascii="Arial" w:hAnsi="Arial" w:cs="Arial"/>
          <w:bCs/>
        </w:rPr>
        <w:tab/>
        <w:t>Texas State Technical College</w:t>
      </w:r>
    </w:p>
    <w:p w:rsidR="007601EC" w:rsidRPr="00AE1992" w:rsidRDefault="007601EC" w:rsidP="007601EC">
      <w:pPr>
        <w:rPr>
          <w:rFonts w:ascii="Arial" w:hAnsi="Arial" w:cs="Arial"/>
          <w:bCs/>
        </w:rPr>
      </w:pPr>
      <w:r w:rsidRPr="00AE1992">
        <w:rPr>
          <w:rFonts w:ascii="Arial" w:hAnsi="Arial" w:cs="Arial"/>
          <w:bCs/>
        </w:rPr>
        <w:t xml:space="preserve">Procurement Office                                              </w:t>
      </w:r>
      <w:r w:rsidRPr="00AE1992">
        <w:rPr>
          <w:rFonts w:ascii="Arial" w:hAnsi="Arial" w:cs="Arial"/>
          <w:bCs/>
        </w:rPr>
        <w:tab/>
      </w:r>
      <w:r w:rsidRPr="00AE1992">
        <w:rPr>
          <w:rFonts w:ascii="Arial" w:hAnsi="Arial" w:cs="Arial"/>
          <w:bCs/>
        </w:rPr>
        <w:tab/>
        <w:t xml:space="preserve"> Procurement Office</w:t>
      </w:r>
    </w:p>
    <w:p w:rsidR="007601EC" w:rsidRPr="00AE1992" w:rsidRDefault="007601EC" w:rsidP="007601EC">
      <w:pPr>
        <w:rPr>
          <w:rFonts w:ascii="Arial" w:hAnsi="Arial" w:cs="Arial"/>
          <w:bCs/>
        </w:rPr>
      </w:pPr>
      <w:r w:rsidRPr="00AE1992">
        <w:rPr>
          <w:rFonts w:ascii="Arial" w:hAnsi="Arial" w:cs="Arial"/>
          <w:bCs/>
        </w:rPr>
        <w:t>3801 Campus Dr.</w:t>
      </w:r>
      <w:r w:rsidRPr="00AE1992">
        <w:rPr>
          <w:rFonts w:ascii="Arial" w:hAnsi="Arial" w:cs="Arial"/>
          <w:bCs/>
        </w:rPr>
        <w:tab/>
        <w:t xml:space="preserve">                                                  </w:t>
      </w:r>
      <w:r w:rsidRPr="00AE1992">
        <w:rPr>
          <w:rFonts w:ascii="Arial" w:hAnsi="Arial" w:cs="Arial"/>
          <w:bCs/>
        </w:rPr>
        <w:tab/>
        <w:t xml:space="preserve">Attn: Sharon </w:t>
      </w:r>
      <w:proofErr w:type="spellStart"/>
      <w:r w:rsidRPr="00AE1992">
        <w:rPr>
          <w:rFonts w:ascii="Arial" w:hAnsi="Arial" w:cs="Arial"/>
          <w:bCs/>
        </w:rPr>
        <w:t>Ferrill</w:t>
      </w:r>
      <w:proofErr w:type="spellEnd"/>
      <w:r w:rsidRPr="00AE1992">
        <w:rPr>
          <w:rFonts w:ascii="Arial" w:hAnsi="Arial" w:cs="Arial"/>
          <w:bCs/>
        </w:rPr>
        <w:t>, CTP</w:t>
      </w:r>
    </w:p>
    <w:p w:rsidR="007601EC" w:rsidRPr="00AE1992" w:rsidRDefault="007601EC" w:rsidP="007601EC">
      <w:pPr>
        <w:rPr>
          <w:rFonts w:ascii="Arial" w:hAnsi="Arial" w:cs="Arial"/>
          <w:bCs/>
        </w:rPr>
      </w:pPr>
      <w:r w:rsidRPr="00AE1992">
        <w:rPr>
          <w:rFonts w:ascii="Arial" w:hAnsi="Arial" w:cs="Arial"/>
          <w:bCs/>
        </w:rPr>
        <w:t xml:space="preserve">Waco, TX  76705                                                  </w:t>
      </w:r>
      <w:r w:rsidRPr="00AE1992">
        <w:rPr>
          <w:rFonts w:ascii="Arial" w:hAnsi="Arial" w:cs="Arial"/>
          <w:bCs/>
        </w:rPr>
        <w:tab/>
        <w:t>103 10</w:t>
      </w:r>
      <w:r w:rsidRPr="00AE1992">
        <w:rPr>
          <w:rFonts w:ascii="Arial" w:hAnsi="Arial" w:cs="Arial"/>
          <w:bCs/>
          <w:vertAlign w:val="superscript"/>
        </w:rPr>
        <w:t>th</w:t>
      </w:r>
      <w:r w:rsidRPr="00AE1992">
        <w:rPr>
          <w:rFonts w:ascii="Arial" w:hAnsi="Arial" w:cs="Arial"/>
          <w:bCs/>
        </w:rPr>
        <w:t xml:space="preserve"> St. (on campus address only)</w:t>
      </w:r>
    </w:p>
    <w:p w:rsidR="007601EC" w:rsidRPr="00AE1992" w:rsidRDefault="007601EC" w:rsidP="007601EC">
      <w:pPr>
        <w:rPr>
          <w:rFonts w:ascii="Arial" w:hAnsi="Arial" w:cs="Arial"/>
          <w:bCs/>
        </w:rPr>
      </w:pPr>
      <w:r w:rsidRPr="00AE1992">
        <w:rPr>
          <w:rFonts w:ascii="Arial" w:hAnsi="Arial" w:cs="Arial"/>
          <w:bCs/>
        </w:rPr>
        <w:t xml:space="preserve">Attn: Sharon </w:t>
      </w:r>
      <w:proofErr w:type="spellStart"/>
      <w:r w:rsidRPr="00AE1992">
        <w:rPr>
          <w:rFonts w:ascii="Arial" w:hAnsi="Arial" w:cs="Arial"/>
          <w:bCs/>
        </w:rPr>
        <w:t>Ferrill</w:t>
      </w:r>
      <w:proofErr w:type="spellEnd"/>
      <w:r w:rsidRPr="00AE1992">
        <w:rPr>
          <w:rFonts w:ascii="Arial" w:hAnsi="Arial" w:cs="Arial"/>
          <w:bCs/>
        </w:rPr>
        <w:t>, CTP</w:t>
      </w:r>
      <w:r w:rsidRPr="00AE1992">
        <w:rPr>
          <w:rFonts w:ascii="Arial" w:hAnsi="Arial" w:cs="Arial"/>
          <w:bCs/>
        </w:rPr>
        <w:tab/>
      </w:r>
      <w:r w:rsidRPr="00AE1992">
        <w:rPr>
          <w:rFonts w:ascii="Arial" w:hAnsi="Arial" w:cs="Arial"/>
          <w:bCs/>
        </w:rPr>
        <w:tab/>
      </w:r>
      <w:r w:rsidRPr="00AE1992">
        <w:rPr>
          <w:rFonts w:ascii="Arial" w:hAnsi="Arial" w:cs="Arial"/>
          <w:bCs/>
        </w:rPr>
        <w:tab/>
        <w:t xml:space="preserve">       </w:t>
      </w:r>
      <w:r w:rsidRPr="00AE1992">
        <w:rPr>
          <w:rFonts w:ascii="Arial" w:hAnsi="Arial" w:cs="Arial"/>
          <w:bCs/>
        </w:rPr>
        <w:tab/>
        <w:t>Waco, TX  76705</w:t>
      </w:r>
    </w:p>
    <w:p w:rsidR="007601EC" w:rsidRPr="00AE1992" w:rsidRDefault="007601EC" w:rsidP="007601EC">
      <w:pPr>
        <w:rPr>
          <w:rFonts w:ascii="Arial" w:hAnsi="Arial" w:cs="Arial"/>
          <w:b/>
          <w:bCs/>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AE1992" w:rsidRDefault="007601EC" w:rsidP="007601EC">
      <w:pPr>
        <w:rPr>
          <w:rFonts w:ascii="Arial" w:hAnsi="Arial" w:cs="Arial"/>
          <w:b/>
          <w:bCs/>
          <w:u w:val="single"/>
        </w:rPr>
      </w:pPr>
      <w:r w:rsidRPr="00AE1992">
        <w:rPr>
          <w:rFonts w:ascii="Arial" w:hAnsi="Arial" w:cs="Arial"/>
          <w:b/>
          <w:bCs/>
          <w:u w:val="single"/>
        </w:rPr>
        <w:t>Faxed Proposals</w:t>
      </w:r>
      <w:r w:rsidRPr="00AE1992">
        <w:rPr>
          <w:rFonts w:ascii="Arial" w:hAnsi="Arial" w:cs="Arial"/>
          <w:b/>
          <w:bCs/>
        </w:rPr>
        <w:t xml:space="preserve"> will not be accepted.</w:t>
      </w:r>
      <w:r w:rsidR="00AE1992">
        <w:rPr>
          <w:rFonts w:ascii="Arial" w:hAnsi="Arial" w:cs="Arial"/>
          <w:b/>
          <w:bCs/>
        </w:rPr>
        <w:t xml:space="preserve">   </w:t>
      </w:r>
      <w:r w:rsidRPr="00AE1992">
        <w:rPr>
          <w:rFonts w:ascii="Arial" w:hAnsi="Arial" w:cs="Arial"/>
          <w:b/>
          <w:bCs/>
          <w:u w:val="single"/>
        </w:rPr>
        <w:t>Emailed Proposals will not be accepted.</w:t>
      </w:r>
    </w:p>
    <w:p w:rsidR="007601EC" w:rsidRPr="00AE1992" w:rsidRDefault="007601EC" w:rsidP="007601EC">
      <w:pPr>
        <w:rPr>
          <w:rFonts w:ascii="Arial" w:hAnsi="Arial" w:cs="Arial"/>
          <w:b/>
          <w:bCs/>
          <w:u w:val="single"/>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Proposals must be received in a sealed envelope by the date and time shown above for consideration.  Please indicate the Proposal</w:t>
      </w:r>
      <w:r w:rsidR="00A9561D" w:rsidRPr="006C5795">
        <w:rPr>
          <w:rFonts w:ascii="Arial" w:hAnsi="Arial" w:cs="Arial"/>
          <w:bCs/>
          <w:sz w:val="22"/>
          <w:szCs w:val="22"/>
        </w:rPr>
        <w:t xml:space="preserve"> </w:t>
      </w:r>
      <w:r w:rsidRPr="006C5795">
        <w:rPr>
          <w:rFonts w:ascii="Arial" w:hAnsi="Arial" w:cs="Arial"/>
          <w:bCs/>
          <w:sz w:val="22"/>
          <w:szCs w:val="22"/>
        </w:rPr>
        <w:t>#,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Late Proposals will not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After the evaluation process of the proposals an award will be made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7601EC" w:rsidRPr="006C5795" w:rsidRDefault="007601EC" w:rsidP="006C5795">
      <w:pPr>
        <w:rPr>
          <w:rFonts w:ascii="Arial" w:hAnsi="Arial" w:cs="Arial"/>
          <w:bCs/>
          <w:sz w:val="22"/>
          <w:szCs w:val="22"/>
        </w:rPr>
      </w:pPr>
      <w:r w:rsidRPr="006C5795">
        <w:rPr>
          <w:rFonts w:ascii="Arial" w:hAnsi="Arial" w:cs="Arial"/>
          <w:bCs/>
          <w:sz w:val="22"/>
          <w:szCs w:val="22"/>
        </w:rPr>
        <w:t xml:space="preserve">Open records requests, after award is made, may be requested by contacting Jerry </w:t>
      </w:r>
      <w:proofErr w:type="spellStart"/>
      <w:r w:rsidRPr="006C5795">
        <w:rPr>
          <w:rFonts w:ascii="Arial" w:hAnsi="Arial" w:cs="Arial"/>
          <w:bCs/>
          <w:sz w:val="22"/>
          <w:szCs w:val="22"/>
        </w:rPr>
        <w:t>Sorrells</w:t>
      </w:r>
      <w:proofErr w:type="spellEnd"/>
      <w:r w:rsidRPr="006C5795">
        <w:rPr>
          <w:rFonts w:ascii="Arial" w:hAnsi="Arial" w:cs="Arial"/>
          <w:bCs/>
          <w:sz w:val="22"/>
          <w:szCs w:val="22"/>
        </w:rPr>
        <w:t xml:space="preserve"> via email at: </w:t>
      </w:r>
      <w:hyperlink r:id="rId9" w:history="1">
        <w:r w:rsidRPr="006C5795">
          <w:rPr>
            <w:rStyle w:val="Hyperlink"/>
            <w:rFonts w:ascii="Arial" w:hAnsi="Arial" w:cs="Arial"/>
            <w:b/>
            <w:bCs/>
            <w:sz w:val="22"/>
            <w:szCs w:val="22"/>
          </w:rPr>
          <w:t>jerry.sorrells@tstc.edu</w:t>
        </w:r>
      </w:hyperlink>
    </w:p>
    <w:p w:rsidR="00695828" w:rsidRPr="006C5795" w:rsidRDefault="00695828" w:rsidP="007601EC">
      <w:pPr>
        <w:pStyle w:val="BodyText2"/>
        <w:ind w:firstLine="0"/>
        <w:rPr>
          <w:rFonts w:cs="Arial"/>
          <w:color w:val="000000" w:themeColor="text1"/>
          <w:sz w:val="22"/>
          <w:szCs w:val="22"/>
        </w:rPr>
      </w:pPr>
    </w:p>
    <w:p w:rsidR="007601EC" w:rsidRPr="006C5795" w:rsidRDefault="007601EC" w:rsidP="007601EC">
      <w:pPr>
        <w:pStyle w:val="BodyText2"/>
        <w:rPr>
          <w:rFonts w:cs="Arial"/>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6C5795" w:rsidRDefault="00DC695A" w:rsidP="007601EC">
      <w:pPr>
        <w:rPr>
          <w:rFonts w:ascii="Arial" w:hAnsi="Arial" w:cs="Arial"/>
          <w:bCs/>
          <w:sz w:val="22"/>
          <w:szCs w:val="22"/>
        </w:rPr>
      </w:pPr>
      <w:r w:rsidRPr="006C5795">
        <w:rPr>
          <w:rFonts w:ascii="Arial" w:hAnsi="Arial" w:cs="Arial"/>
          <w:bCs/>
          <w:sz w:val="22"/>
          <w:szCs w:val="22"/>
        </w:rPr>
        <w:t>General statement</w:t>
      </w:r>
    </w:p>
    <w:p w:rsidR="00DC695A" w:rsidRPr="006C5795" w:rsidRDefault="00DC695A" w:rsidP="007601EC">
      <w:pPr>
        <w:rPr>
          <w:rFonts w:ascii="Arial" w:hAnsi="Arial" w:cs="Arial"/>
          <w:bCs/>
          <w:sz w:val="22"/>
          <w:szCs w:val="22"/>
        </w:rPr>
      </w:pPr>
    </w:p>
    <w:p w:rsidR="007F5374" w:rsidRPr="00695828" w:rsidRDefault="007F5374" w:rsidP="007F5374">
      <w:pPr>
        <w:rPr>
          <w:b/>
          <w:bCs/>
          <w:sz w:val="22"/>
          <w:szCs w:val="22"/>
        </w:rPr>
      </w:pPr>
      <w:r w:rsidRPr="00695828">
        <w:rPr>
          <w:b/>
          <w:bCs/>
          <w:sz w:val="22"/>
          <w:szCs w:val="22"/>
        </w:rPr>
        <w:t xml:space="preserve">Texas State Technical College Waco is requesting </w:t>
      </w:r>
      <w:r>
        <w:rPr>
          <w:b/>
          <w:bCs/>
          <w:sz w:val="22"/>
          <w:szCs w:val="22"/>
        </w:rPr>
        <w:t>C</w:t>
      </w:r>
      <w:r w:rsidRPr="00695828">
        <w:rPr>
          <w:b/>
          <w:bCs/>
          <w:sz w:val="22"/>
          <w:szCs w:val="22"/>
        </w:rPr>
        <w:t xml:space="preserve">ompetitive </w:t>
      </w:r>
      <w:r>
        <w:rPr>
          <w:b/>
          <w:bCs/>
          <w:sz w:val="22"/>
          <w:szCs w:val="22"/>
        </w:rPr>
        <w:t>S</w:t>
      </w:r>
      <w:r w:rsidRPr="00695828">
        <w:rPr>
          <w:b/>
          <w:bCs/>
          <w:sz w:val="22"/>
          <w:szCs w:val="22"/>
        </w:rPr>
        <w:t xml:space="preserve">ealed </w:t>
      </w:r>
      <w:r>
        <w:rPr>
          <w:b/>
          <w:bCs/>
          <w:sz w:val="22"/>
          <w:szCs w:val="22"/>
        </w:rPr>
        <w:t>P</w:t>
      </w:r>
      <w:r w:rsidRPr="00695828">
        <w:rPr>
          <w:b/>
          <w:bCs/>
          <w:sz w:val="22"/>
          <w:szCs w:val="22"/>
        </w:rPr>
        <w:t>roposals for</w:t>
      </w:r>
      <w:r>
        <w:rPr>
          <w:b/>
          <w:bCs/>
          <w:sz w:val="22"/>
          <w:szCs w:val="22"/>
        </w:rPr>
        <w:t xml:space="preserve"> material, labor and equipment to do renovation of the Electronics Center </w:t>
      </w:r>
      <w:proofErr w:type="spellStart"/>
      <w:r>
        <w:rPr>
          <w:b/>
          <w:bCs/>
          <w:sz w:val="22"/>
          <w:szCs w:val="22"/>
        </w:rPr>
        <w:t>Rm</w:t>
      </w:r>
      <w:proofErr w:type="spellEnd"/>
      <w:r>
        <w:rPr>
          <w:b/>
          <w:bCs/>
          <w:sz w:val="22"/>
          <w:szCs w:val="22"/>
        </w:rPr>
        <w:t xml:space="preserve"> 137 at Texas State Technical College, located on the TSTC Waco Campus, located at 3801 Campus Dr. Waco, TX  76705, as described within the Scope of Work specification.</w:t>
      </w:r>
      <w:r w:rsidRPr="00695828">
        <w:rPr>
          <w:b/>
          <w:bCs/>
          <w:sz w:val="22"/>
          <w:szCs w:val="22"/>
        </w:rPr>
        <w:t xml:space="preserve">  </w:t>
      </w:r>
    </w:p>
    <w:p w:rsidR="007601EC" w:rsidRPr="006C5795" w:rsidRDefault="007601EC" w:rsidP="007601EC">
      <w:pPr>
        <w:rPr>
          <w:rFonts w:ascii="Arial" w:hAnsi="Arial" w:cs="Arial"/>
          <w:bCs/>
          <w:sz w:val="22"/>
          <w:szCs w:val="22"/>
        </w:rPr>
      </w:pPr>
    </w:p>
    <w:p w:rsidR="008341AE" w:rsidRPr="006C5795" w:rsidRDefault="007601EC" w:rsidP="007601EC">
      <w:pPr>
        <w:rPr>
          <w:rFonts w:ascii="Arial" w:hAnsi="Arial" w:cs="Arial"/>
          <w:bCs/>
          <w:sz w:val="22"/>
          <w:szCs w:val="22"/>
        </w:rPr>
      </w:pPr>
      <w:r w:rsidRPr="006C5795">
        <w:rPr>
          <w:rFonts w:ascii="Arial" w:hAnsi="Arial" w:cs="Arial"/>
          <w:bCs/>
          <w:sz w:val="22"/>
          <w:szCs w:val="22"/>
        </w:rPr>
        <w:t xml:space="preserve">Project Manager </w:t>
      </w:r>
      <w:r w:rsidR="008341AE" w:rsidRPr="006C5795">
        <w:rPr>
          <w:rFonts w:ascii="Arial" w:hAnsi="Arial" w:cs="Arial"/>
          <w:bCs/>
          <w:sz w:val="22"/>
          <w:szCs w:val="22"/>
        </w:rPr>
        <w:t>C</w:t>
      </w:r>
      <w:r w:rsidRPr="006C5795">
        <w:rPr>
          <w:rFonts w:ascii="Arial" w:hAnsi="Arial" w:cs="Arial"/>
          <w:bCs/>
          <w:sz w:val="22"/>
          <w:szCs w:val="22"/>
        </w:rPr>
        <w:t>ontact:</w:t>
      </w:r>
    </w:p>
    <w:p w:rsidR="008341AE" w:rsidRPr="006C5795" w:rsidRDefault="008341AE"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Mike Ratliff    (254) 867-</w:t>
      </w:r>
      <w:r w:rsidR="00B817B7" w:rsidRPr="006C5795">
        <w:rPr>
          <w:rFonts w:ascii="Arial" w:hAnsi="Arial" w:cs="Arial"/>
          <w:bCs/>
          <w:sz w:val="22"/>
          <w:szCs w:val="22"/>
        </w:rPr>
        <w:t>3703</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7601EC">
      <w:pPr>
        <w:rPr>
          <w:b/>
          <w:bCs/>
        </w:rPr>
      </w:pPr>
      <w:r w:rsidRPr="006C5795">
        <w:rPr>
          <w:rFonts w:ascii="Arial" w:hAnsi="Arial" w:cs="Arial"/>
          <w:b/>
          <w:bCs/>
          <w:sz w:val="22"/>
          <w:szCs w:val="22"/>
        </w:rPr>
        <w:br w:type="page"/>
      </w:r>
    </w:p>
    <w:p w:rsidR="007601EC" w:rsidRDefault="007601EC">
      <w:pPr>
        <w:jc w:val="center"/>
        <w:rPr>
          <w:rFonts w:ascii="Arial" w:hAnsi="Arial" w:cs="Arial"/>
          <w:b/>
          <w:color w:val="000000"/>
          <w:sz w:val="22"/>
          <w:szCs w:val="22"/>
          <w:u w:val="single"/>
        </w:rPr>
      </w:pPr>
    </w:p>
    <w:p w:rsidR="00555AB4"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AE1992" w:rsidRPr="00C92488" w:rsidRDefault="00AE1992">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7F5374">
        <w:rPr>
          <w:rFonts w:ascii="Arial" w:hAnsi="Arial" w:cs="Arial"/>
          <w:sz w:val="22"/>
          <w:szCs w:val="22"/>
        </w:rPr>
        <w:t xml:space="preserve">to engage proposer to furnish material, labor, and equipment to do renovations at Electronics Bldg. </w:t>
      </w:r>
      <w:proofErr w:type="spellStart"/>
      <w:r w:rsidR="007F5374">
        <w:rPr>
          <w:rFonts w:ascii="Arial" w:hAnsi="Arial" w:cs="Arial"/>
          <w:sz w:val="22"/>
          <w:szCs w:val="22"/>
        </w:rPr>
        <w:t>Rm</w:t>
      </w:r>
      <w:proofErr w:type="spellEnd"/>
      <w:r w:rsidR="007F5374">
        <w:rPr>
          <w:rFonts w:ascii="Arial" w:hAnsi="Arial" w:cs="Arial"/>
          <w:sz w:val="22"/>
          <w:szCs w:val="22"/>
        </w:rPr>
        <w:t xml:space="preserve"> 137 at the Waco Campus. This will be demo of approx. 40’ metal walls. </w:t>
      </w:r>
      <w:proofErr w:type="gramStart"/>
      <w:r w:rsidR="007F5374">
        <w:rPr>
          <w:rFonts w:ascii="Arial" w:hAnsi="Arial" w:cs="Arial"/>
          <w:sz w:val="22"/>
          <w:szCs w:val="22"/>
        </w:rPr>
        <w:t>Removal of electrical, plumbing, cabinetry, and approx.900 SFT of suspended ceiling.</w:t>
      </w:r>
      <w:proofErr w:type="gramEnd"/>
      <w:r w:rsidR="007F5374">
        <w:rPr>
          <w:rFonts w:ascii="Arial" w:hAnsi="Arial" w:cs="Arial"/>
          <w:sz w:val="22"/>
          <w:szCs w:val="22"/>
        </w:rPr>
        <w:t xml:space="preserve"> Furnish and install floor framing with decking (approx. 900 </w:t>
      </w:r>
      <w:proofErr w:type="spellStart"/>
      <w:r w:rsidR="007F5374">
        <w:rPr>
          <w:rFonts w:ascii="Arial" w:hAnsi="Arial" w:cs="Arial"/>
          <w:sz w:val="22"/>
          <w:szCs w:val="22"/>
        </w:rPr>
        <w:t>sft</w:t>
      </w:r>
      <w:proofErr w:type="spellEnd"/>
      <w:r w:rsidR="007F5374">
        <w:rPr>
          <w:rFonts w:ascii="Arial" w:hAnsi="Arial" w:cs="Arial"/>
          <w:sz w:val="22"/>
          <w:szCs w:val="22"/>
        </w:rPr>
        <w:t xml:space="preserve">.)This will include furnishing and installation of various electrical, painting, plumbing and drywall. Install </w:t>
      </w:r>
      <w:proofErr w:type="gramStart"/>
      <w:r w:rsidR="007F5374">
        <w:rPr>
          <w:rFonts w:ascii="Arial" w:hAnsi="Arial" w:cs="Arial"/>
          <w:sz w:val="22"/>
          <w:szCs w:val="22"/>
        </w:rPr>
        <w:t xml:space="preserve">approx. 900 </w:t>
      </w:r>
      <w:proofErr w:type="spellStart"/>
      <w:r w:rsidR="007F5374">
        <w:rPr>
          <w:rFonts w:ascii="Arial" w:hAnsi="Arial" w:cs="Arial"/>
          <w:sz w:val="22"/>
          <w:szCs w:val="22"/>
        </w:rPr>
        <w:t>sft.of</w:t>
      </w:r>
      <w:proofErr w:type="spellEnd"/>
      <w:r w:rsidR="007F5374">
        <w:rPr>
          <w:rFonts w:ascii="Arial" w:hAnsi="Arial" w:cs="Arial"/>
          <w:sz w:val="22"/>
          <w:szCs w:val="22"/>
        </w:rPr>
        <w:t xml:space="preserve"> VCT flooring</w:t>
      </w:r>
      <w:proofErr w:type="gramEnd"/>
      <w:r w:rsidR="007F5374">
        <w:rPr>
          <w:rFonts w:ascii="Arial" w:hAnsi="Arial" w:cs="Arial"/>
          <w:sz w:val="22"/>
          <w:szCs w:val="22"/>
        </w:rPr>
        <w:t>. Furnish and install shelving and braces for work stations as per scope of work.</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w:t>
      </w:r>
      <w:proofErr w:type="gramStart"/>
      <w:r w:rsidR="00AE1992">
        <w:rPr>
          <w:rFonts w:ascii="Arial" w:hAnsi="Arial" w:cs="Arial"/>
          <w:sz w:val="22"/>
          <w:szCs w:val="22"/>
        </w:rPr>
        <w:t>1215W</w:t>
      </w:r>
      <w:r w:rsidR="00935ED3" w:rsidRPr="00291D38">
        <w:rPr>
          <w:rFonts w:ascii="Arial" w:hAnsi="Arial" w:cs="Arial"/>
          <w:color w:val="C00000"/>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AE1992">
        <w:rPr>
          <w:rFonts w:ascii="Arial" w:hAnsi="Arial" w:cs="Arial"/>
          <w:color w:val="000000"/>
          <w:sz w:val="22"/>
          <w:szCs w:val="22"/>
          <w:u w:val="single"/>
        </w:rPr>
        <w:t>By Hard Copy Submission</w:t>
      </w:r>
      <w:r w:rsidRPr="00C92488">
        <w:rPr>
          <w:rFonts w:ascii="Arial" w:hAnsi="Arial" w:cs="Arial"/>
          <w:color w:val="000000"/>
          <w:sz w:val="22"/>
          <w:szCs w:val="22"/>
        </w:rPr>
        <w:t>:</w:t>
      </w:r>
    </w:p>
    <w:p w:rsidR="00AE1992" w:rsidRPr="00C92488" w:rsidRDefault="00AE1992" w:rsidP="008D4579">
      <w:pPr>
        <w:tabs>
          <w:tab w:val="left" w:pos="720"/>
          <w:tab w:val="left" w:pos="1440"/>
        </w:tabs>
        <w:rPr>
          <w:rFonts w:ascii="Arial" w:hAnsi="Arial" w:cs="Arial"/>
          <w:color w:val="000000"/>
          <w:sz w:val="22"/>
          <w:szCs w:val="22"/>
        </w:rPr>
      </w:pP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AE1992" w:rsidRDefault="00555AB4" w:rsidP="008D4579">
      <w:pPr>
        <w:tabs>
          <w:tab w:val="left" w:pos="720"/>
          <w:tab w:val="left" w:pos="1440"/>
        </w:tabs>
        <w:rPr>
          <w:rFonts w:ascii="Arial" w:hAnsi="Arial" w:cs="Arial"/>
          <w:color w:val="000000"/>
          <w:u w:val="single"/>
        </w:rPr>
      </w:pPr>
      <w:r w:rsidRPr="00AE1992">
        <w:rPr>
          <w:rFonts w:ascii="Arial" w:hAnsi="Arial" w:cs="Arial"/>
          <w:color w:val="000000"/>
          <w:u w:val="single"/>
        </w:rPr>
        <w:t>By U.S. Mail/Overnight/Express Mail</w:t>
      </w:r>
    </w:p>
    <w:p w:rsidR="00555AB4" w:rsidRPr="00AE1992" w:rsidRDefault="00555AB4" w:rsidP="008D4579">
      <w:pPr>
        <w:tabs>
          <w:tab w:val="left" w:pos="720"/>
          <w:tab w:val="left" w:pos="1440"/>
        </w:tabs>
        <w:rPr>
          <w:rFonts w:ascii="Arial" w:hAnsi="Arial" w:cs="Arial"/>
          <w:color w:val="000000"/>
        </w:rPr>
      </w:pPr>
      <w:r w:rsidRPr="00AE1992">
        <w:rPr>
          <w:rFonts w:ascii="Arial" w:hAnsi="Arial" w:cs="Arial"/>
          <w:color w:val="000000"/>
        </w:rPr>
        <w:tab/>
      </w:r>
      <w:r w:rsidR="00893980" w:rsidRPr="00AE1992">
        <w:rPr>
          <w:rFonts w:ascii="Arial" w:hAnsi="Arial" w:cs="Arial"/>
          <w:color w:val="000000"/>
        </w:rPr>
        <w:t>Texas State Technical College</w:t>
      </w:r>
    </w:p>
    <w:p w:rsidR="00893980" w:rsidRPr="00AE1992" w:rsidRDefault="00893980" w:rsidP="008D4579">
      <w:pPr>
        <w:tabs>
          <w:tab w:val="left" w:pos="720"/>
          <w:tab w:val="left" w:pos="1440"/>
        </w:tabs>
        <w:rPr>
          <w:rFonts w:ascii="Arial" w:hAnsi="Arial" w:cs="Arial"/>
          <w:color w:val="000000"/>
        </w:rPr>
      </w:pPr>
      <w:r w:rsidRPr="00AE1992">
        <w:rPr>
          <w:rFonts w:ascii="Arial" w:hAnsi="Arial" w:cs="Arial"/>
          <w:color w:val="000000"/>
        </w:rPr>
        <w:tab/>
        <w:t>Procurement Office</w:t>
      </w:r>
    </w:p>
    <w:p w:rsidR="00555AB4" w:rsidRPr="00AE1992" w:rsidRDefault="00555AB4" w:rsidP="00D75898">
      <w:pPr>
        <w:tabs>
          <w:tab w:val="left" w:pos="720"/>
          <w:tab w:val="left" w:pos="1440"/>
        </w:tabs>
        <w:rPr>
          <w:rFonts w:ascii="Arial" w:hAnsi="Arial" w:cs="Arial"/>
          <w:color w:val="000000"/>
        </w:rPr>
      </w:pPr>
      <w:r w:rsidRPr="00AE1992">
        <w:rPr>
          <w:rFonts w:ascii="Arial" w:hAnsi="Arial" w:cs="Arial"/>
          <w:color w:val="000000"/>
        </w:rPr>
        <w:tab/>
        <w:t xml:space="preserve">Attn:  Sharon </w:t>
      </w:r>
      <w:proofErr w:type="spellStart"/>
      <w:r w:rsidRPr="00AE1992">
        <w:rPr>
          <w:rFonts w:ascii="Arial" w:hAnsi="Arial" w:cs="Arial"/>
          <w:color w:val="000000"/>
        </w:rPr>
        <w:t>Ferrill</w:t>
      </w:r>
      <w:proofErr w:type="spellEnd"/>
      <w:r w:rsidR="007601EC" w:rsidRPr="00AE1992">
        <w:rPr>
          <w:rFonts w:ascii="Arial" w:hAnsi="Arial" w:cs="Arial"/>
          <w:color w:val="000000"/>
        </w:rPr>
        <w:t>, CTP</w:t>
      </w:r>
      <w:r w:rsidRPr="00AE1992">
        <w:rPr>
          <w:rFonts w:ascii="Arial" w:hAnsi="Arial" w:cs="Arial"/>
          <w:color w:val="000000"/>
        </w:rPr>
        <w:tab/>
      </w:r>
    </w:p>
    <w:p w:rsidR="00555AB4" w:rsidRPr="00AE1992" w:rsidRDefault="00555AB4" w:rsidP="00D75898">
      <w:pPr>
        <w:tabs>
          <w:tab w:val="left" w:pos="720"/>
          <w:tab w:val="left" w:pos="1440"/>
        </w:tabs>
        <w:rPr>
          <w:rFonts w:ascii="Arial" w:hAnsi="Arial" w:cs="Arial"/>
          <w:color w:val="000000"/>
        </w:rPr>
      </w:pPr>
      <w:r w:rsidRPr="00AE1992">
        <w:rPr>
          <w:rFonts w:ascii="Arial" w:hAnsi="Arial" w:cs="Arial"/>
          <w:color w:val="000000"/>
        </w:rPr>
        <w:tab/>
        <w:t>3801 Campus Drive</w:t>
      </w:r>
    </w:p>
    <w:p w:rsidR="00555AB4" w:rsidRPr="00AE1992" w:rsidRDefault="00555AB4" w:rsidP="00D75898">
      <w:pPr>
        <w:tabs>
          <w:tab w:val="left" w:pos="720"/>
          <w:tab w:val="left" w:pos="1440"/>
        </w:tabs>
        <w:rPr>
          <w:rFonts w:ascii="Arial" w:hAnsi="Arial" w:cs="Arial"/>
          <w:color w:val="000000"/>
        </w:rPr>
      </w:pPr>
      <w:r w:rsidRPr="00AE1992">
        <w:rPr>
          <w:rFonts w:ascii="Arial" w:hAnsi="Arial" w:cs="Arial"/>
          <w:color w:val="000000"/>
        </w:rPr>
        <w:tab/>
        <w:t xml:space="preserve">Waco, TX </w:t>
      </w:r>
      <w:r w:rsidR="002335F9" w:rsidRPr="00AE1992">
        <w:rPr>
          <w:rFonts w:ascii="Arial" w:hAnsi="Arial" w:cs="Arial"/>
          <w:color w:val="000000"/>
        </w:rPr>
        <w:t>76705</w:t>
      </w:r>
    </w:p>
    <w:p w:rsidR="00AE1992" w:rsidRPr="00AE1992" w:rsidRDefault="00AE1992" w:rsidP="00D75898">
      <w:pPr>
        <w:tabs>
          <w:tab w:val="left" w:pos="720"/>
          <w:tab w:val="left" w:pos="1440"/>
        </w:tabs>
        <w:rPr>
          <w:rFonts w:ascii="Arial" w:hAnsi="Arial" w:cs="Arial"/>
        </w:rPr>
      </w:pPr>
    </w:p>
    <w:p w:rsidR="00555AB4" w:rsidRPr="00AE1992" w:rsidRDefault="00555AB4" w:rsidP="008D4579">
      <w:pPr>
        <w:tabs>
          <w:tab w:val="left" w:pos="720"/>
          <w:tab w:val="left" w:pos="1440"/>
        </w:tabs>
        <w:rPr>
          <w:rFonts w:ascii="Arial" w:hAnsi="Arial" w:cs="Arial"/>
          <w:color w:val="000000"/>
          <w:u w:val="single"/>
        </w:rPr>
      </w:pPr>
      <w:r w:rsidRPr="00AE1992">
        <w:rPr>
          <w:rFonts w:ascii="Arial" w:hAnsi="Arial" w:cs="Arial"/>
          <w:color w:val="000000"/>
          <w:u w:val="single"/>
        </w:rPr>
        <w:t>By Hand Delivery</w:t>
      </w:r>
      <w:r w:rsidR="007601EC" w:rsidRPr="00AE1992">
        <w:rPr>
          <w:rFonts w:ascii="Arial" w:hAnsi="Arial" w:cs="Arial"/>
          <w:color w:val="000000"/>
          <w:u w:val="single"/>
        </w:rPr>
        <w:t xml:space="preserve"> (on campus address only)</w:t>
      </w:r>
    </w:p>
    <w:p w:rsidR="00555AB4" w:rsidRPr="00AE1992" w:rsidRDefault="00555AB4" w:rsidP="008D4579">
      <w:pPr>
        <w:tabs>
          <w:tab w:val="left" w:pos="720"/>
          <w:tab w:val="left" w:pos="1440"/>
        </w:tabs>
        <w:rPr>
          <w:rFonts w:ascii="Arial" w:hAnsi="Arial" w:cs="Arial"/>
          <w:color w:val="000000"/>
        </w:rPr>
      </w:pPr>
      <w:r w:rsidRPr="00AE1992">
        <w:rPr>
          <w:rFonts w:ascii="Arial" w:hAnsi="Arial" w:cs="Arial"/>
          <w:color w:val="000000"/>
        </w:rPr>
        <w:tab/>
      </w:r>
      <w:r w:rsidR="00893980" w:rsidRPr="00AE1992">
        <w:rPr>
          <w:rFonts w:ascii="Arial" w:hAnsi="Arial" w:cs="Arial"/>
          <w:color w:val="000000"/>
        </w:rPr>
        <w:t xml:space="preserve">Texas State Technical College </w:t>
      </w:r>
    </w:p>
    <w:p w:rsidR="00893980" w:rsidRPr="00AE1992" w:rsidRDefault="00893980" w:rsidP="008D4579">
      <w:pPr>
        <w:tabs>
          <w:tab w:val="left" w:pos="720"/>
          <w:tab w:val="left" w:pos="1440"/>
        </w:tabs>
        <w:rPr>
          <w:rFonts w:ascii="Arial" w:hAnsi="Arial" w:cs="Arial"/>
          <w:color w:val="000000"/>
        </w:rPr>
      </w:pPr>
      <w:r w:rsidRPr="00AE1992">
        <w:rPr>
          <w:rFonts w:ascii="Arial" w:hAnsi="Arial" w:cs="Arial"/>
          <w:color w:val="000000"/>
        </w:rPr>
        <w:tab/>
        <w:t>Procurement Office</w:t>
      </w:r>
    </w:p>
    <w:p w:rsidR="00893980" w:rsidRPr="00AE1992" w:rsidRDefault="00893980" w:rsidP="008D4579">
      <w:pPr>
        <w:tabs>
          <w:tab w:val="left" w:pos="720"/>
          <w:tab w:val="left" w:pos="1440"/>
        </w:tabs>
        <w:rPr>
          <w:rFonts w:ascii="Arial" w:hAnsi="Arial" w:cs="Arial"/>
          <w:color w:val="000000"/>
        </w:rPr>
      </w:pPr>
      <w:r w:rsidRPr="00AE1992">
        <w:rPr>
          <w:rFonts w:ascii="Arial" w:hAnsi="Arial" w:cs="Arial"/>
          <w:color w:val="000000"/>
        </w:rPr>
        <w:tab/>
        <w:t xml:space="preserve">Attn: Sharon </w:t>
      </w:r>
      <w:proofErr w:type="spellStart"/>
      <w:r w:rsidRPr="00AE1992">
        <w:rPr>
          <w:rFonts w:ascii="Arial" w:hAnsi="Arial" w:cs="Arial"/>
          <w:color w:val="000000"/>
        </w:rPr>
        <w:t>Ferrill</w:t>
      </w:r>
      <w:proofErr w:type="spellEnd"/>
      <w:r w:rsidRPr="00AE1992">
        <w:rPr>
          <w:rFonts w:ascii="Arial" w:hAnsi="Arial" w:cs="Arial"/>
          <w:color w:val="000000"/>
        </w:rPr>
        <w:t xml:space="preserve">, CTP  </w:t>
      </w:r>
    </w:p>
    <w:p w:rsidR="002335F9" w:rsidRPr="00AE1992" w:rsidRDefault="00893980" w:rsidP="00893980">
      <w:pPr>
        <w:tabs>
          <w:tab w:val="left" w:pos="720"/>
          <w:tab w:val="left" w:pos="1440"/>
        </w:tabs>
        <w:rPr>
          <w:rFonts w:ascii="Arial" w:hAnsi="Arial" w:cs="Arial"/>
          <w:color w:val="000000"/>
        </w:rPr>
      </w:pPr>
      <w:r w:rsidRPr="00AE1992">
        <w:rPr>
          <w:rFonts w:ascii="Arial" w:hAnsi="Arial" w:cs="Arial"/>
          <w:color w:val="000000"/>
        </w:rPr>
        <w:tab/>
      </w:r>
      <w:r w:rsidR="002335F9" w:rsidRPr="00AE1992">
        <w:rPr>
          <w:rFonts w:ascii="Arial" w:hAnsi="Arial" w:cs="Arial"/>
          <w:color w:val="000000"/>
        </w:rPr>
        <w:t>Patterson Hall</w:t>
      </w:r>
    </w:p>
    <w:p w:rsidR="002335F9" w:rsidRPr="00AE1992" w:rsidRDefault="002335F9">
      <w:pPr>
        <w:tabs>
          <w:tab w:val="left" w:pos="720"/>
          <w:tab w:val="left" w:pos="1440"/>
        </w:tabs>
        <w:jc w:val="both"/>
        <w:rPr>
          <w:rFonts w:ascii="Arial" w:hAnsi="Arial" w:cs="Arial"/>
          <w:color w:val="000000"/>
        </w:rPr>
      </w:pPr>
      <w:r w:rsidRPr="00AE1992">
        <w:rPr>
          <w:rFonts w:ascii="Arial" w:hAnsi="Arial" w:cs="Arial"/>
          <w:color w:val="000000"/>
        </w:rPr>
        <w:tab/>
        <w:t>103 10</w:t>
      </w:r>
      <w:r w:rsidRPr="00AE1992">
        <w:rPr>
          <w:rFonts w:ascii="Arial" w:hAnsi="Arial" w:cs="Arial"/>
          <w:color w:val="000000"/>
          <w:vertAlign w:val="superscript"/>
        </w:rPr>
        <w:t>th</w:t>
      </w:r>
      <w:r w:rsidRPr="00AE1992">
        <w:rPr>
          <w:rFonts w:ascii="Arial" w:hAnsi="Arial" w:cs="Arial"/>
          <w:color w:val="000000"/>
        </w:rPr>
        <w:t xml:space="preserve"> St TSTC Campus</w:t>
      </w:r>
    </w:p>
    <w:p w:rsidR="002335F9" w:rsidRPr="00AE1992" w:rsidRDefault="002335F9">
      <w:pPr>
        <w:tabs>
          <w:tab w:val="left" w:pos="720"/>
          <w:tab w:val="left" w:pos="1440"/>
        </w:tabs>
        <w:jc w:val="both"/>
        <w:rPr>
          <w:rFonts w:ascii="Arial" w:hAnsi="Arial" w:cs="Arial"/>
          <w:color w:val="000000"/>
        </w:rPr>
      </w:pPr>
      <w:r w:rsidRPr="00AE1992">
        <w:rPr>
          <w:rFonts w:ascii="Arial" w:hAnsi="Arial" w:cs="Arial"/>
          <w:color w:val="000000"/>
        </w:rPr>
        <w:tab/>
        <w:t>Waco, T</w:t>
      </w:r>
      <w:r w:rsidR="00AE1992">
        <w:rPr>
          <w:rFonts w:ascii="Arial" w:hAnsi="Arial" w:cs="Arial"/>
          <w:color w:val="000000"/>
        </w:rPr>
        <w:t>X</w:t>
      </w:r>
      <w:r w:rsidRPr="00AE1992">
        <w:rPr>
          <w:rFonts w:ascii="Arial" w:hAnsi="Arial" w:cs="Arial"/>
          <w:color w:val="000000"/>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lastRenderedPageBreak/>
        <w:tab/>
      </w:r>
    </w:p>
    <w:p w:rsidR="00555AB4" w:rsidRPr="006C579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6C5795" w:rsidRPr="006C5795">
        <w:rPr>
          <w:rFonts w:ascii="Arial" w:hAnsi="Arial" w:cs="Arial"/>
          <w:b/>
          <w:sz w:val="22"/>
          <w:szCs w:val="22"/>
        </w:rPr>
        <w:t>Thursday November 10, 2011</w:t>
      </w:r>
      <w:r w:rsidRPr="006C5795">
        <w:rPr>
          <w:rFonts w:ascii="Arial" w:hAnsi="Arial" w:cs="Arial"/>
          <w:b/>
          <w:sz w:val="22"/>
          <w:szCs w:val="22"/>
        </w:rPr>
        <w:t xml:space="preserve"> at 3pm.</w:t>
      </w:r>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133EB0"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 xml:space="preserve">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 CTP or from Mike Ratliff.  Email requests and responses will be responded to by email only.</w:t>
      </w:r>
      <w:r w:rsidR="006C5795">
        <w:rPr>
          <w:rFonts w:ascii="Arial" w:hAnsi="Arial" w:cs="Arial"/>
          <w:color w:val="000000"/>
          <w:sz w:val="22"/>
          <w:szCs w:val="22"/>
        </w:rPr>
        <w:t xml:space="preserve"> </w:t>
      </w:r>
      <w:hyperlink r:id="rId10" w:history="1">
        <w:r w:rsidR="00133EB0" w:rsidRPr="002976DB">
          <w:rPr>
            <w:rStyle w:val="Hyperlink"/>
            <w:rFonts w:ascii="Arial" w:hAnsi="Arial" w:cs="Arial"/>
            <w:sz w:val="22"/>
            <w:szCs w:val="22"/>
          </w:rPr>
          <w:t>Sharon.ferrill@tstc.edu</w:t>
        </w:r>
      </w:hyperlink>
      <w:r w:rsidR="00133EB0">
        <w:rPr>
          <w:rFonts w:ascii="Arial" w:hAnsi="Arial" w:cs="Arial"/>
          <w:color w:val="000000"/>
          <w:sz w:val="22"/>
          <w:szCs w:val="22"/>
        </w:rPr>
        <w:t xml:space="preserve">   or </w:t>
      </w:r>
      <w:hyperlink r:id="rId11" w:history="1">
        <w:r w:rsidR="00133EB0" w:rsidRPr="002976DB">
          <w:rPr>
            <w:rStyle w:val="Hyperlink"/>
            <w:rFonts w:ascii="Arial" w:hAnsi="Arial" w:cs="Arial"/>
            <w:sz w:val="22"/>
            <w:szCs w:val="22"/>
          </w:rPr>
          <w:t>mike.ratliff@tstc.edu</w:t>
        </w:r>
      </w:hyperlink>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3.3</w:t>
      </w:r>
      <w:r w:rsidRPr="00C92488">
        <w:rPr>
          <w:rFonts w:ascii="Arial" w:hAnsi="Arial" w:cs="Arial"/>
          <w:color w:val="000000"/>
          <w:sz w:val="22"/>
          <w:szCs w:val="22"/>
        </w:rPr>
        <w:tab/>
      </w:r>
      <w:r w:rsidRPr="00C92488">
        <w:rPr>
          <w:rFonts w:ascii="Arial" w:hAnsi="Arial" w:cs="Arial"/>
          <w:b/>
          <w:color w:val="000000"/>
          <w:sz w:val="22"/>
          <w:szCs w:val="22"/>
          <w:u w:val="single"/>
        </w:rPr>
        <w:t>Request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623B1B">
        <w:rPr>
          <w:rFonts w:ascii="Arial" w:hAnsi="Arial" w:cs="Arial"/>
          <w:color w:val="C00000"/>
          <w:sz w:val="22"/>
          <w:szCs w:val="22"/>
        </w:rPr>
        <w:t>November 08</w:t>
      </w:r>
      <w:r w:rsidR="006C5795">
        <w:rPr>
          <w:rFonts w:ascii="Arial" w:hAnsi="Arial" w:cs="Arial"/>
          <w:color w:val="C00000"/>
          <w:sz w:val="22"/>
          <w:szCs w:val="22"/>
        </w:rPr>
        <w:t>, 2011</w:t>
      </w:r>
      <w:r w:rsidRPr="008715A8">
        <w:rPr>
          <w:rFonts w:ascii="Arial" w:hAnsi="Arial" w:cs="Arial"/>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944C58" w:rsidP="00A3029E">
            <w:pPr>
              <w:tabs>
                <w:tab w:val="left" w:pos="720"/>
                <w:tab w:val="left" w:pos="1440"/>
              </w:tabs>
              <w:rPr>
                <w:rFonts w:ascii="Arial" w:hAnsi="Arial" w:cs="Arial"/>
                <w:color w:val="000000"/>
                <w:sz w:val="22"/>
                <w:szCs w:val="22"/>
              </w:rPr>
            </w:pPr>
            <w:hyperlink r:id="rId12"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7F5374" w:rsidRPr="0035640D" w:rsidRDefault="007F5374" w:rsidP="007F5374">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w:t>
      </w:r>
      <w:r>
        <w:rPr>
          <w:rFonts w:ascii="Arial" w:hAnsi="Arial" w:cs="Arial"/>
          <w:color w:val="000000"/>
          <w:sz w:val="22"/>
          <w:szCs w:val="22"/>
        </w:rPr>
        <w:t xml:space="preserve"> </w:t>
      </w:r>
      <w:r w:rsidRPr="006F7D9B">
        <w:rPr>
          <w:rFonts w:ascii="Arial" w:hAnsi="Arial" w:cs="Arial"/>
          <w:color w:val="000000"/>
          <w:sz w:val="22"/>
          <w:szCs w:val="22"/>
        </w:rPr>
        <w:t>pre-proposal conference will be held at the Physical Plant Conference Room; located at 1200 Greenway, on the TSTC Waco campus,</w:t>
      </w:r>
      <w:r>
        <w:rPr>
          <w:rFonts w:ascii="Arial" w:hAnsi="Arial" w:cs="Arial"/>
          <w:color w:val="000000"/>
          <w:sz w:val="22"/>
          <w:szCs w:val="22"/>
        </w:rPr>
        <w:t xml:space="preserve"> Tuesday November</w:t>
      </w:r>
      <w:r w:rsidRPr="00A64753">
        <w:rPr>
          <w:rFonts w:ascii="Arial" w:hAnsi="Arial" w:cs="Arial"/>
          <w:color w:val="C00000"/>
          <w:sz w:val="22"/>
          <w:szCs w:val="22"/>
        </w:rPr>
        <w:t xml:space="preserve"> </w:t>
      </w:r>
      <w:r w:rsidRPr="00AE1992">
        <w:rPr>
          <w:rFonts w:ascii="Arial" w:hAnsi="Arial" w:cs="Arial"/>
          <w:color w:val="FF0000"/>
          <w:sz w:val="22"/>
          <w:szCs w:val="22"/>
        </w:rPr>
        <w:t>01, 2011</w:t>
      </w:r>
      <w:r w:rsidRPr="006F7D9B">
        <w:rPr>
          <w:rFonts w:ascii="Arial" w:hAnsi="Arial" w:cs="Arial"/>
          <w:color w:val="000000"/>
          <w:sz w:val="22"/>
          <w:szCs w:val="22"/>
        </w:rPr>
        <w:t xml:space="preserve"> at </w:t>
      </w:r>
      <w:r>
        <w:rPr>
          <w:rFonts w:ascii="Arial" w:hAnsi="Arial" w:cs="Arial"/>
          <w:color w:val="000000"/>
          <w:sz w:val="22"/>
          <w:szCs w:val="22"/>
        </w:rPr>
        <w:t>10 A</w:t>
      </w:r>
      <w:r w:rsidR="00AE1992">
        <w:rPr>
          <w:rFonts w:ascii="Arial" w:hAnsi="Arial" w:cs="Arial"/>
          <w:color w:val="000000"/>
          <w:sz w:val="22"/>
          <w:szCs w:val="22"/>
        </w:rPr>
        <w:t>M</w:t>
      </w:r>
      <w:r w:rsidRPr="006F7D9B">
        <w:rPr>
          <w:rFonts w:ascii="Arial" w:hAnsi="Arial" w:cs="Arial"/>
          <w:color w:val="000000"/>
          <w:sz w:val="22"/>
          <w:szCs w:val="22"/>
        </w:rPr>
        <w:t>.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6C5795">
        <w:rPr>
          <w:rFonts w:ascii="Arial" w:hAnsi="Arial" w:cs="Arial"/>
          <w:color w:val="C00000"/>
          <w:sz w:val="22"/>
          <w:szCs w:val="22"/>
        </w:rPr>
        <w:t>November 10, 2011</w:t>
      </w:r>
      <w:r>
        <w:rPr>
          <w:rFonts w:ascii="Arial" w:hAnsi="Arial" w:cs="Arial"/>
          <w:color w:val="000000"/>
          <w:sz w:val="22"/>
          <w:szCs w:val="22"/>
        </w:rPr>
        <w:t xml:space="preserve"> at 3pm.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rsidP="00D75898">
      <w:pPr>
        <w:tabs>
          <w:tab w:val="left" w:pos="720"/>
          <w:tab w:val="left" w:pos="1440"/>
        </w:tabs>
        <w:ind w:left="720"/>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 xml:space="preserve">n is completed.  </w:t>
      </w:r>
      <w:r w:rsidR="00AE1992">
        <w:rPr>
          <w:rFonts w:ascii="Arial" w:hAnsi="Arial" w:cs="Arial"/>
          <w:sz w:val="22"/>
          <w:szCs w:val="22"/>
        </w:rPr>
        <w:t>To request a Bid Tab p</w:t>
      </w:r>
      <w:r w:rsidR="002477ED">
        <w:rPr>
          <w:rFonts w:ascii="Arial" w:hAnsi="Arial" w:cs="Arial"/>
          <w:sz w:val="22"/>
          <w:szCs w:val="22"/>
        </w:rPr>
        <w:t xml:space="preserve">lease contact Jerry </w:t>
      </w:r>
      <w:proofErr w:type="spellStart"/>
      <w:r w:rsidR="002477ED">
        <w:rPr>
          <w:rFonts w:ascii="Arial" w:hAnsi="Arial" w:cs="Arial"/>
          <w:sz w:val="22"/>
          <w:szCs w:val="22"/>
        </w:rPr>
        <w:t>Sorrells</w:t>
      </w:r>
      <w:proofErr w:type="spellEnd"/>
      <w:r>
        <w:rPr>
          <w:rFonts w:ascii="Arial" w:hAnsi="Arial" w:cs="Arial"/>
          <w:sz w:val="22"/>
          <w:szCs w:val="22"/>
        </w:rPr>
        <w:t xml:space="preserve"> </w:t>
      </w:r>
      <w:r w:rsidR="00407354">
        <w:rPr>
          <w:rFonts w:ascii="Arial" w:hAnsi="Arial" w:cs="Arial"/>
          <w:sz w:val="22"/>
          <w:szCs w:val="22"/>
        </w:rPr>
        <w:t xml:space="preserve">by email </w:t>
      </w:r>
      <w:r>
        <w:rPr>
          <w:rFonts w:ascii="Arial" w:hAnsi="Arial" w:cs="Arial"/>
          <w:sz w:val="22"/>
          <w:szCs w:val="22"/>
        </w:rPr>
        <w:t xml:space="preserve">at </w:t>
      </w:r>
      <w:hyperlink r:id="rId13" w:history="1">
        <w:r w:rsidR="003646C0" w:rsidRPr="003646C0">
          <w:rPr>
            <w:rStyle w:val="Hyperlink"/>
            <w:rFonts w:ascii="Arial" w:hAnsi="Arial" w:cs="Arial"/>
            <w:sz w:val="22"/>
            <w:szCs w:val="22"/>
          </w:rPr>
          <w:t>Jerry.Sorrells@systems.tstc.edu</w:t>
        </w:r>
      </w:hyperlink>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7F5374" w:rsidRPr="00C92488" w:rsidRDefault="007F5374" w:rsidP="007F5374">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Pr>
          <w:rFonts w:ascii="Arial" w:hAnsi="Arial" w:cs="Arial"/>
          <w:color w:val="000000"/>
          <w:sz w:val="22"/>
          <w:szCs w:val="22"/>
        </w:rPr>
        <w:t xml:space="preserve"> will be $200.00 per calendar day. </w:t>
      </w:r>
      <w:r w:rsidRPr="009B5AFB">
        <w:rPr>
          <w:rFonts w:ascii="Arial" w:hAnsi="Arial" w:cs="Arial"/>
          <w:b/>
          <w:color w:val="000000"/>
          <w:sz w:val="22"/>
          <w:szCs w:val="22"/>
        </w:rPr>
        <w:t xml:space="preserve">Contractor will have </w:t>
      </w:r>
      <w:r>
        <w:rPr>
          <w:rFonts w:ascii="Arial" w:hAnsi="Arial" w:cs="Arial"/>
          <w:b/>
          <w:color w:val="FF0000"/>
          <w:sz w:val="22"/>
          <w:szCs w:val="22"/>
        </w:rPr>
        <w:t>26</w:t>
      </w:r>
      <w:r w:rsidRPr="009B5AFB">
        <w:rPr>
          <w:rFonts w:ascii="Arial" w:hAnsi="Arial" w:cs="Arial"/>
          <w:b/>
          <w:color w:val="000000"/>
          <w:sz w:val="22"/>
          <w:szCs w:val="22"/>
        </w:rPr>
        <w:t xml:space="preserve"> calendar days to complete project from </w:t>
      </w:r>
    </w:p>
    <w:p w:rsidR="007F5374" w:rsidRDefault="00237A46" w:rsidP="007F5374">
      <w:pPr>
        <w:tabs>
          <w:tab w:val="left" w:pos="720"/>
          <w:tab w:val="left" w:pos="1440"/>
        </w:tabs>
        <w:ind w:left="720"/>
        <w:rPr>
          <w:rFonts w:ascii="Arial" w:hAnsi="Arial" w:cs="Arial"/>
          <w:b/>
          <w:color w:val="000000"/>
          <w:sz w:val="22"/>
          <w:szCs w:val="22"/>
        </w:rPr>
      </w:pPr>
      <w:proofErr w:type="gramStart"/>
      <w:r>
        <w:rPr>
          <w:rFonts w:ascii="Arial" w:hAnsi="Arial" w:cs="Arial"/>
          <w:b/>
          <w:color w:val="000000"/>
          <w:sz w:val="22"/>
          <w:szCs w:val="22"/>
        </w:rPr>
        <w:t>d</w:t>
      </w:r>
      <w:r w:rsidR="007F5374" w:rsidRPr="009B5AFB">
        <w:rPr>
          <w:rFonts w:ascii="Arial" w:hAnsi="Arial" w:cs="Arial"/>
          <w:b/>
          <w:color w:val="000000"/>
          <w:sz w:val="22"/>
          <w:szCs w:val="22"/>
        </w:rPr>
        <w:t>ate</w:t>
      </w:r>
      <w:proofErr w:type="gramEnd"/>
      <w:r>
        <w:rPr>
          <w:rFonts w:ascii="Arial" w:hAnsi="Arial" w:cs="Arial"/>
          <w:b/>
          <w:color w:val="000000"/>
          <w:sz w:val="22"/>
          <w:szCs w:val="22"/>
        </w:rPr>
        <w:t xml:space="preserve"> </w:t>
      </w:r>
      <w:r w:rsidR="007F5374">
        <w:rPr>
          <w:rFonts w:ascii="Arial" w:hAnsi="Arial" w:cs="Arial"/>
          <w:b/>
          <w:color w:val="000000"/>
          <w:sz w:val="22"/>
          <w:szCs w:val="22"/>
        </w:rPr>
        <w:t>set by TSTC. This date will begin December 10, 2011 and end January 04, 2012.</w:t>
      </w:r>
      <w:r w:rsidR="007F5374" w:rsidRPr="009B5AFB">
        <w:rPr>
          <w:rFonts w:ascii="Arial" w:hAnsi="Arial" w:cs="Arial"/>
          <w:b/>
          <w:color w:val="000000"/>
          <w:sz w:val="22"/>
          <w:szCs w:val="22"/>
        </w:rPr>
        <w:t xml:space="preserve"> </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3218B0" w:rsidRPr="00C92488" w:rsidRDefault="003218B0" w:rsidP="0082394A">
      <w:pPr>
        <w:tabs>
          <w:tab w:val="left" w:pos="720"/>
          <w:tab w:val="left" w:pos="1440"/>
        </w:tabs>
        <w:rPr>
          <w:rFonts w:ascii="Arial" w:hAnsi="Arial" w:cs="Arial"/>
          <w:color w:val="000000"/>
          <w:sz w:val="22"/>
          <w:szCs w:val="22"/>
        </w:rPr>
      </w:pPr>
    </w:p>
    <w:p w:rsidR="003218B0" w:rsidRPr="00D10B6A"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1F3682" w:rsidRDefault="001F3682" w:rsidP="001F3682">
      <w:pPr>
        <w:ind w:left="2160" w:hanging="1440"/>
        <w:rPr>
          <w:rFonts w:ascii="Arial" w:hAnsi="Arial" w:cs="Arial"/>
          <w:color w:val="000000"/>
          <w:sz w:val="22"/>
          <w:szCs w:val="22"/>
        </w:rPr>
      </w:pPr>
    </w:p>
    <w:p w:rsidR="001F3682" w:rsidRDefault="001F3682" w:rsidP="001F3682">
      <w:pPr>
        <w:ind w:left="2160" w:hanging="1440"/>
        <w:rPr>
          <w:rFonts w:ascii="Arial" w:hAnsi="Arial" w:cs="Arial"/>
          <w:color w:val="000000"/>
          <w:sz w:val="22"/>
          <w:szCs w:val="22"/>
        </w:rPr>
      </w:pPr>
      <w:r>
        <w:rPr>
          <w:rFonts w:ascii="Arial" w:hAnsi="Arial" w:cs="Arial"/>
          <w:color w:val="000000"/>
          <w:sz w:val="22"/>
          <w:szCs w:val="22"/>
        </w:rPr>
        <w:t>Separate files:</w:t>
      </w:r>
    </w:p>
    <w:p w:rsidR="001F3682" w:rsidRDefault="001F3682" w:rsidP="001F3682">
      <w:pPr>
        <w:ind w:left="2160" w:hanging="1440"/>
        <w:rPr>
          <w:rFonts w:ascii="Arial" w:hAnsi="Arial" w:cs="Arial"/>
          <w:color w:val="000000"/>
          <w:sz w:val="22"/>
          <w:szCs w:val="22"/>
        </w:rPr>
      </w:pPr>
    </w:p>
    <w:p w:rsidR="001F3682" w:rsidRPr="001F3682" w:rsidRDefault="001F3682" w:rsidP="001F3682">
      <w:pPr>
        <w:ind w:left="2160" w:hanging="1440"/>
        <w:rPr>
          <w:rFonts w:ascii="Arial" w:hAnsi="Arial" w:cs="Arial"/>
          <w:sz w:val="22"/>
          <w:szCs w:val="22"/>
        </w:rPr>
      </w:pPr>
      <w:r w:rsidRPr="00D10B6A">
        <w:rPr>
          <w:rFonts w:ascii="Arial" w:hAnsi="Arial" w:cs="Arial"/>
          <w:color w:val="000000"/>
          <w:sz w:val="22"/>
          <w:szCs w:val="22"/>
        </w:rPr>
        <w:t xml:space="preserve">Exhibit </w:t>
      </w:r>
      <w:r>
        <w:rPr>
          <w:rFonts w:ascii="Arial" w:hAnsi="Arial" w:cs="Arial"/>
          <w:sz w:val="22"/>
          <w:szCs w:val="22"/>
        </w:rPr>
        <w:t>F</w:t>
      </w:r>
      <w:r w:rsidRPr="00D10B6A">
        <w:rPr>
          <w:rFonts w:ascii="Arial" w:hAnsi="Arial" w:cs="Arial"/>
          <w:color w:val="000000"/>
          <w:sz w:val="22"/>
          <w:szCs w:val="22"/>
        </w:rPr>
        <w:t xml:space="preserve">:    </w:t>
      </w:r>
      <w:r w:rsidR="003218B0" w:rsidRPr="00D10B6A">
        <w:rPr>
          <w:rFonts w:ascii="Arial" w:hAnsi="Arial" w:cs="Arial"/>
          <w:color w:val="000000"/>
          <w:sz w:val="22"/>
          <w:szCs w:val="22"/>
        </w:rPr>
        <w:tab/>
      </w:r>
      <w:r w:rsidR="00237A46">
        <w:rPr>
          <w:rFonts w:ascii="Arial" w:hAnsi="Arial" w:cs="Arial"/>
          <w:sz w:val="22"/>
          <w:szCs w:val="22"/>
        </w:rPr>
        <w:t xml:space="preserve">Electronics Center </w:t>
      </w:r>
      <w:proofErr w:type="spellStart"/>
      <w:r w:rsidR="00237A46">
        <w:rPr>
          <w:rFonts w:ascii="Arial" w:hAnsi="Arial" w:cs="Arial"/>
          <w:sz w:val="22"/>
          <w:szCs w:val="22"/>
        </w:rPr>
        <w:t>Rm</w:t>
      </w:r>
      <w:proofErr w:type="spellEnd"/>
      <w:r w:rsidR="00237A46">
        <w:rPr>
          <w:rFonts w:ascii="Arial" w:hAnsi="Arial" w:cs="Arial"/>
          <w:sz w:val="22"/>
          <w:szCs w:val="22"/>
        </w:rPr>
        <w:t xml:space="preserve"> 137 renovations</w:t>
      </w:r>
      <w:r w:rsidRPr="001F3682">
        <w:rPr>
          <w:rFonts w:ascii="Arial" w:hAnsi="Arial" w:cs="Arial"/>
          <w:sz w:val="22"/>
          <w:szCs w:val="22"/>
        </w:rPr>
        <w:tab/>
      </w:r>
    </w:p>
    <w:p w:rsidR="001F3682" w:rsidRPr="001F3682" w:rsidRDefault="001F3682" w:rsidP="001F3682">
      <w:pPr>
        <w:ind w:left="2160" w:hanging="1440"/>
        <w:rPr>
          <w:rFonts w:ascii="Arial" w:hAnsi="Arial" w:cs="Arial"/>
          <w:sz w:val="22"/>
          <w:szCs w:val="22"/>
        </w:rPr>
      </w:pPr>
      <w:r w:rsidRPr="001F3682">
        <w:rPr>
          <w:rFonts w:ascii="Arial" w:hAnsi="Arial" w:cs="Arial"/>
          <w:color w:val="000000"/>
          <w:sz w:val="22"/>
          <w:szCs w:val="22"/>
        </w:rPr>
        <w:t xml:space="preserve">Exhibit </w:t>
      </w:r>
      <w:r w:rsidRPr="001F3682">
        <w:rPr>
          <w:rFonts w:ascii="Arial" w:hAnsi="Arial" w:cs="Arial"/>
          <w:sz w:val="22"/>
          <w:szCs w:val="22"/>
        </w:rPr>
        <w:t>G</w:t>
      </w:r>
      <w:r w:rsidRPr="001F3682">
        <w:rPr>
          <w:rFonts w:ascii="Arial" w:hAnsi="Arial" w:cs="Arial"/>
          <w:color w:val="000000"/>
          <w:sz w:val="22"/>
          <w:szCs w:val="22"/>
        </w:rPr>
        <w:t xml:space="preserve">:    </w:t>
      </w:r>
      <w:r w:rsidRPr="001F3682">
        <w:rPr>
          <w:rFonts w:ascii="Arial" w:hAnsi="Arial" w:cs="Arial"/>
          <w:color w:val="000000"/>
          <w:sz w:val="22"/>
          <w:szCs w:val="22"/>
        </w:rPr>
        <w:tab/>
      </w:r>
      <w:proofErr w:type="spellStart"/>
      <w:r w:rsidR="00237A46">
        <w:rPr>
          <w:rFonts w:ascii="Arial" w:hAnsi="Arial" w:cs="Arial"/>
          <w:sz w:val="22"/>
          <w:szCs w:val="22"/>
        </w:rPr>
        <w:t>Rm</w:t>
      </w:r>
      <w:proofErr w:type="spellEnd"/>
      <w:r w:rsidR="00237A46">
        <w:rPr>
          <w:rFonts w:ascii="Arial" w:hAnsi="Arial" w:cs="Arial"/>
          <w:sz w:val="22"/>
          <w:szCs w:val="22"/>
        </w:rPr>
        <w:t xml:space="preserve"> 137 renovations Table cross sections</w:t>
      </w:r>
    </w:p>
    <w:p w:rsidR="003218B0" w:rsidRDefault="003218B0" w:rsidP="003218B0">
      <w:pPr>
        <w:tabs>
          <w:tab w:val="left" w:pos="720"/>
          <w:tab w:val="left" w:pos="1440"/>
        </w:tabs>
        <w:rPr>
          <w:rFonts w:ascii="Arial" w:hAnsi="Arial" w:cs="Arial"/>
          <w:color w:val="000000"/>
          <w:sz w:val="22"/>
          <w:szCs w:val="22"/>
        </w:rPr>
      </w:pPr>
    </w:p>
    <w:p w:rsidR="003218B0" w:rsidRPr="00C92488"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35681C" w:rsidRDefault="00555AB4" w:rsidP="003218B0">
      <w:pPr>
        <w:tabs>
          <w:tab w:val="left" w:pos="-720"/>
          <w:tab w:val="left" w:pos="0"/>
          <w:tab w:val="left" w:pos="720"/>
          <w:tab w:val="left" w:pos="2160"/>
          <w:tab w:val="left" w:pos="2448"/>
          <w:tab w:val="left" w:pos="3168"/>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4"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D7963" w:rsidRDefault="00555AB4" w:rsidP="00566A37">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0A2497" w:rsidRDefault="000A2497" w:rsidP="00566A37">
      <w:pPr>
        <w:rPr>
          <w:rFonts w:ascii="Arial" w:hAnsi="Arial" w:cs="Arial"/>
          <w:b/>
          <w:color w:val="000000"/>
          <w:sz w:val="22"/>
          <w:szCs w:val="22"/>
          <w:u w:val="single"/>
        </w:rPr>
      </w:pPr>
    </w:p>
    <w:p w:rsidR="000A2497" w:rsidRDefault="000A2497" w:rsidP="00566A37">
      <w:pPr>
        <w:rPr>
          <w:rFonts w:ascii="Arial" w:hAnsi="Arial" w:cs="Arial"/>
          <w:b/>
          <w:color w:val="000000"/>
          <w:sz w:val="22"/>
          <w:szCs w:val="22"/>
          <w:u w:val="single"/>
        </w:rPr>
      </w:pPr>
    </w:p>
    <w:p w:rsidR="000A2497" w:rsidRPr="00825F62" w:rsidRDefault="000A2497" w:rsidP="000A2497">
      <w:pPr>
        <w:ind w:firstLine="720"/>
        <w:rPr>
          <w:rFonts w:ascii="Arial" w:hAnsi="Arial" w:cs="Arial"/>
          <w:sz w:val="24"/>
          <w:szCs w:val="24"/>
        </w:rPr>
      </w:pPr>
      <w:r>
        <w:rPr>
          <w:rFonts w:ascii="Arial" w:hAnsi="Arial" w:cs="Arial"/>
          <w:sz w:val="24"/>
          <w:szCs w:val="24"/>
        </w:rPr>
        <w:t>Page 26-29</w:t>
      </w:r>
      <w:r w:rsidRPr="00825F62">
        <w:rPr>
          <w:rFonts w:ascii="Arial" w:hAnsi="Arial" w:cs="Arial"/>
          <w:sz w:val="24"/>
          <w:szCs w:val="24"/>
        </w:rPr>
        <w:t xml:space="preserve">  </w:t>
      </w:r>
    </w:p>
    <w:p w:rsidR="000A2497" w:rsidRPr="00BD7963" w:rsidRDefault="000A2497" w:rsidP="000A2497">
      <w:pPr>
        <w:ind w:firstLine="720"/>
        <w:rPr>
          <w:rFonts w:ascii="Arial" w:hAnsi="Arial" w:cs="Arial"/>
          <w:b/>
          <w:color w:val="000000"/>
          <w:sz w:val="22"/>
          <w:szCs w:val="22"/>
          <w:u w:val="single"/>
        </w:rPr>
      </w:pPr>
    </w:p>
    <w:p w:rsidR="00BD7EA0" w:rsidRDefault="00BD7EA0" w:rsidP="00BD7EA0">
      <w:pPr>
        <w:rPr>
          <w:rFonts w:ascii="Arial" w:hAnsi="Arial" w:cs="Arial"/>
          <w:b/>
          <w:sz w:val="24"/>
          <w:szCs w:val="24"/>
        </w:rPr>
      </w:pPr>
    </w:p>
    <w:p w:rsidR="00B131FE" w:rsidRPr="000A2497" w:rsidRDefault="00B131FE" w:rsidP="000A2497">
      <w:pPr>
        <w:ind w:left="450"/>
        <w:rPr>
          <w:rFonts w:ascii="Arial" w:hAnsi="Arial" w:cs="Arial"/>
          <w:sz w:val="24"/>
          <w:szCs w:val="24"/>
        </w:rPr>
      </w:pPr>
    </w:p>
    <w:p w:rsidR="00B131FE"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561B88" w:rsidRDefault="00561B88" w:rsidP="00561B88">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61B88" w:rsidRDefault="00561B88" w:rsidP="00561B88">
      <w:pPr>
        <w:rPr>
          <w:rFonts w:ascii="Arial" w:hAnsi="Arial" w:cs="Arial"/>
          <w:b/>
          <w:sz w:val="22"/>
          <w:szCs w:val="22"/>
        </w:rPr>
      </w:pPr>
    </w:p>
    <w:p w:rsidR="00561B88" w:rsidRDefault="00561B88" w:rsidP="00561B88">
      <w:pPr>
        <w:ind w:left="720" w:hanging="720"/>
        <w:rPr>
          <w:rFonts w:ascii="Arial" w:hAnsi="Arial" w:cs="Arial"/>
          <w:b/>
          <w:sz w:val="22"/>
          <w:szCs w:val="22"/>
        </w:rPr>
      </w:pPr>
    </w:p>
    <w:p w:rsidR="00561B88" w:rsidRDefault="00561B88" w:rsidP="00561B88">
      <w:pPr>
        <w:ind w:left="720" w:hanging="720"/>
        <w:rPr>
          <w:rFonts w:ascii="Arial" w:hAnsi="Arial" w:cs="Arial"/>
          <w:b/>
          <w:sz w:val="22"/>
          <w:szCs w:val="22"/>
        </w:rPr>
      </w:pPr>
    </w:p>
    <w:p w:rsidR="00157D4F" w:rsidRDefault="00561B88" w:rsidP="00561B88">
      <w:pPr>
        <w:ind w:left="2880" w:hanging="2160"/>
        <w:rPr>
          <w:rFonts w:ascii="Arial" w:hAnsi="Arial" w:cs="Arial"/>
          <w:b/>
          <w:sz w:val="22"/>
          <w:szCs w:val="22"/>
        </w:rPr>
      </w:pPr>
      <w:r>
        <w:rPr>
          <w:rFonts w:ascii="Arial" w:hAnsi="Arial" w:cs="Arial"/>
          <w:b/>
          <w:sz w:val="22"/>
          <w:szCs w:val="22"/>
        </w:rPr>
        <w:t>Specifications:</w:t>
      </w:r>
      <w:r w:rsidRPr="003218B0">
        <w:rPr>
          <w:rFonts w:ascii="Arial" w:hAnsi="Arial" w:cs="Arial"/>
          <w:b/>
          <w:sz w:val="22"/>
          <w:szCs w:val="22"/>
        </w:rPr>
        <w:t xml:space="preserve"> </w:t>
      </w:r>
    </w:p>
    <w:p w:rsidR="00157D4F" w:rsidRDefault="00157D4F" w:rsidP="00157D4F">
      <w:pPr>
        <w:ind w:left="2880" w:hanging="1440"/>
        <w:rPr>
          <w:rFonts w:ascii="Arial" w:hAnsi="Arial" w:cs="Arial"/>
          <w:b/>
          <w:sz w:val="22"/>
          <w:szCs w:val="22"/>
        </w:rPr>
      </w:pPr>
    </w:p>
    <w:p w:rsidR="00561B88" w:rsidRDefault="00874F79" w:rsidP="00157D4F">
      <w:pPr>
        <w:tabs>
          <w:tab w:val="left" w:pos="1350"/>
        </w:tabs>
        <w:ind w:left="2880" w:hanging="1440"/>
        <w:rPr>
          <w:rFonts w:ascii="Arial" w:hAnsi="Arial" w:cs="Arial"/>
          <w:b/>
          <w:sz w:val="22"/>
          <w:szCs w:val="22"/>
        </w:rPr>
      </w:pPr>
      <w:r>
        <w:rPr>
          <w:rFonts w:ascii="Arial" w:hAnsi="Arial" w:cs="Arial"/>
          <w:b/>
          <w:sz w:val="22"/>
          <w:szCs w:val="22"/>
        </w:rPr>
        <w:t xml:space="preserve">Exhibit </w:t>
      </w:r>
      <w:r w:rsidR="001F3682">
        <w:rPr>
          <w:rFonts w:ascii="Arial" w:hAnsi="Arial" w:cs="Arial"/>
          <w:b/>
          <w:sz w:val="22"/>
          <w:szCs w:val="22"/>
        </w:rPr>
        <w:t>F</w:t>
      </w:r>
      <w:r w:rsidR="00561B88">
        <w:rPr>
          <w:rFonts w:ascii="Arial" w:hAnsi="Arial" w:cs="Arial"/>
          <w:b/>
          <w:sz w:val="22"/>
          <w:szCs w:val="22"/>
        </w:rPr>
        <w:t xml:space="preserve"> – </w:t>
      </w:r>
      <w:r w:rsidR="00237A46" w:rsidRPr="00237A46">
        <w:rPr>
          <w:rFonts w:ascii="Arial" w:hAnsi="Arial" w:cs="Arial"/>
          <w:b/>
          <w:sz w:val="22"/>
          <w:szCs w:val="22"/>
        </w:rPr>
        <w:t xml:space="preserve">Electronics Center </w:t>
      </w:r>
      <w:proofErr w:type="spellStart"/>
      <w:r w:rsidR="00237A46" w:rsidRPr="00237A46">
        <w:rPr>
          <w:rFonts w:ascii="Arial" w:hAnsi="Arial" w:cs="Arial"/>
          <w:b/>
          <w:sz w:val="22"/>
          <w:szCs w:val="22"/>
        </w:rPr>
        <w:t>Rm</w:t>
      </w:r>
      <w:proofErr w:type="spellEnd"/>
      <w:r w:rsidR="00237A46" w:rsidRPr="00237A46">
        <w:rPr>
          <w:rFonts w:ascii="Arial" w:hAnsi="Arial" w:cs="Arial"/>
          <w:b/>
          <w:sz w:val="22"/>
          <w:szCs w:val="22"/>
        </w:rPr>
        <w:t xml:space="preserve"> 137 renovations</w:t>
      </w:r>
      <w:r w:rsidR="00237A46" w:rsidRPr="00237A46">
        <w:rPr>
          <w:rFonts w:ascii="Arial" w:hAnsi="Arial" w:cs="Arial"/>
          <w:b/>
          <w:sz w:val="22"/>
          <w:szCs w:val="22"/>
        </w:rPr>
        <w:tab/>
      </w:r>
    </w:p>
    <w:p w:rsidR="00561B88" w:rsidRDefault="00561B88" w:rsidP="00561B88">
      <w:pPr>
        <w:ind w:left="2880" w:hanging="2160"/>
        <w:rPr>
          <w:rFonts w:ascii="Arial" w:hAnsi="Arial" w:cs="Arial"/>
          <w:b/>
          <w:sz w:val="22"/>
          <w:szCs w:val="22"/>
        </w:rPr>
      </w:pPr>
    </w:p>
    <w:p w:rsidR="00B131FE" w:rsidRDefault="00B131FE" w:rsidP="006E6A65">
      <w:pPr>
        <w:ind w:left="2880" w:hanging="2160"/>
        <w:rPr>
          <w:rFonts w:ascii="Arial" w:hAnsi="Arial" w:cs="Arial"/>
          <w:b/>
          <w:color w:val="C00000"/>
          <w:sz w:val="22"/>
          <w:szCs w:val="22"/>
        </w:rPr>
      </w:pPr>
    </w:p>
    <w:p w:rsidR="00A24850" w:rsidRPr="00A24850" w:rsidRDefault="00874F79" w:rsidP="00A24850">
      <w:pPr>
        <w:ind w:firstLine="1440"/>
        <w:rPr>
          <w:rFonts w:ascii="Arial" w:hAnsi="Arial" w:cs="Arial"/>
          <w:b/>
          <w:sz w:val="22"/>
          <w:szCs w:val="22"/>
        </w:rPr>
      </w:pPr>
      <w:r>
        <w:rPr>
          <w:rFonts w:ascii="Arial" w:hAnsi="Arial" w:cs="Arial"/>
          <w:b/>
          <w:sz w:val="22"/>
          <w:szCs w:val="22"/>
        </w:rPr>
        <w:t>Exhibit</w:t>
      </w:r>
      <w:r w:rsidR="00DC3529">
        <w:rPr>
          <w:rFonts w:ascii="Arial" w:hAnsi="Arial" w:cs="Arial"/>
          <w:b/>
          <w:sz w:val="22"/>
          <w:szCs w:val="22"/>
        </w:rPr>
        <w:t xml:space="preserve"> </w:t>
      </w:r>
      <w:r w:rsidR="001F3682">
        <w:rPr>
          <w:rFonts w:ascii="Arial" w:hAnsi="Arial" w:cs="Arial"/>
          <w:b/>
          <w:sz w:val="22"/>
          <w:szCs w:val="22"/>
        </w:rPr>
        <w:t>G</w:t>
      </w:r>
      <w:r w:rsidR="00DC3529" w:rsidRPr="00A24850">
        <w:rPr>
          <w:rFonts w:ascii="Arial" w:hAnsi="Arial" w:cs="Arial"/>
          <w:b/>
          <w:sz w:val="22"/>
          <w:szCs w:val="22"/>
        </w:rPr>
        <w:t xml:space="preserve"> -</w:t>
      </w:r>
      <w:r w:rsidR="00DC3529" w:rsidRPr="00237A46">
        <w:rPr>
          <w:rFonts w:ascii="Arial" w:hAnsi="Arial" w:cs="Arial"/>
          <w:b/>
          <w:sz w:val="22"/>
          <w:szCs w:val="22"/>
        </w:rPr>
        <w:t xml:space="preserve"> </w:t>
      </w:r>
      <w:proofErr w:type="spellStart"/>
      <w:r w:rsidR="00237A46" w:rsidRPr="00237A46">
        <w:rPr>
          <w:rFonts w:ascii="Arial" w:hAnsi="Arial" w:cs="Arial"/>
          <w:b/>
          <w:sz w:val="22"/>
          <w:szCs w:val="22"/>
        </w:rPr>
        <w:t>Rm</w:t>
      </w:r>
      <w:proofErr w:type="spellEnd"/>
      <w:r w:rsidR="00237A46" w:rsidRPr="00237A46">
        <w:rPr>
          <w:rFonts w:ascii="Arial" w:hAnsi="Arial" w:cs="Arial"/>
          <w:b/>
          <w:sz w:val="22"/>
          <w:szCs w:val="22"/>
        </w:rPr>
        <w:t xml:space="preserve"> 137 renovations Table cross sections</w:t>
      </w:r>
    </w:p>
    <w:p w:rsidR="00A24850" w:rsidRDefault="00A24850" w:rsidP="00A24850">
      <w:pPr>
        <w:ind w:firstLine="2340"/>
        <w:rPr>
          <w:rFonts w:ascii="Arial" w:hAnsi="Arial" w:cs="Arial"/>
          <w:sz w:val="24"/>
          <w:szCs w:val="24"/>
        </w:rPr>
      </w:pPr>
    </w:p>
    <w:p w:rsidR="00DC3529" w:rsidRDefault="00DC3529" w:rsidP="00DC3529">
      <w:pPr>
        <w:ind w:left="2880" w:hanging="2160"/>
        <w:rPr>
          <w:rFonts w:ascii="Arial" w:hAnsi="Arial" w:cs="Arial"/>
          <w:b/>
          <w:color w:val="C00000"/>
          <w:sz w:val="22"/>
          <w:szCs w:val="22"/>
        </w:rPr>
      </w:pPr>
    </w:p>
    <w:p w:rsidR="00B131FE" w:rsidRDefault="00B131FE" w:rsidP="006E6A65">
      <w:pPr>
        <w:ind w:left="2880" w:hanging="2160"/>
        <w:rPr>
          <w:rFonts w:ascii="Arial" w:hAnsi="Arial" w:cs="Arial"/>
          <w:b/>
          <w:color w:val="C00000"/>
          <w:sz w:val="22"/>
          <w:szCs w:val="22"/>
        </w:rPr>
      </w:pPr>
    </w:p>
    <w:p w:rsidR="00F167D8" w:rsidRDefault="00F167D8" w:rsidP="006E6A65">
      <w:pPr>
        <w:ind w:left="2880" w:hanging="2160"/>
        <w:rPr>
          <w:rFonts w:ascii="Arial" w:hAnsi="Arial" w:cs="Arial"/>
          <w:b/>
          <w:color w:val="C00000"/>
          <w:sz w:val="22"/>
          <w:szCs w:val="22"/>
        </w:rPr>
      </w:pPr>
    </w:p>
    <w:p w:rsidR="00C32A8E" w:rsidRDefault="00C32A8E" w:rsidP="00C32A8E">
      <w:pPr>
        <w:rPr>
          <w:rFonts w:ascii="Arial" w:hAnsi="Arial" w:cs="Arial"/>
          <w:b/>
          <w:sz w:val="22"/>
          <w:szCs w:val="22"/>
        </w:rPr>
      </w:pPr>
      <w:r>
        <w:rPr>
          <w:rFonts w:ascii="Arial" w:hAnsi="Arial" w:cs="Arial"/>
          <w:b/>
          <w:sz w:val="22"/>
          <w:szCs w:val="22"/>
        </w:rPr>
        <w:t>4.2</w:t>
      </w:r>
      <w:r>
        <w:rPr>
          <w:rFonts w:ascii="Arial" w:hAnsi="Arial" w:cs="Arial"/>
          <w:b/>
          <w:sz w:val="22"/>
          <w:szCs w:val="22"/>
        </w:rPr>
        <w:tab/>
      </w:r>
      <w:r>
        <w:rPr>
          <w:rFonts w:ascii="Arial" w:hAnsi="Arial" w:cs="Arial"/>
          <w:b/>
          <w:sz w:val="22"/>
          <w:szCs w:val="22"/>
          <w:u w:val="single"/>
        </w:rPr>
        <w:t>Schedule:</w:t>
      </w:r>
    </w:p>
    <w:p w:rsidR="001D6EAF" w:rsidRDefault="001D6EAF" w:rsidP="001D6EAF">
      <w:pPr>
        <w:spacing w:before="100" w:beforeAutospacing="1" w:after="100" w:afterAutospacing="1"/>
        <w:ind w:left="720"/>
        <w:rPr>
          <w:rFonts w:ascii="Arial" w:hAnsi="Arial" w:cs="Arial"/>
          <w:b/>
          <w:sz w:val="22"/>
          <w:szCs w:val="22"/>
        </w:rPr>
      </w:pPr>
      <w:r>
        <w:rPr>
          <w:rFonts w:ascii="Arial" w:hAnsi="Arial" w:cs="Arial"/>
          <w:b/>
          <w:sz w:val="22"/>
          <w:szCs w:val="22"/>
        </w:rPr>
        <w:t>A pre</w:t>
      </w:r>
      <w:r w:rsidR="00004C17">
        <w:rPr>
          <w:rFonts w:ascii="Arial" w:hAnsi="Arial" w:cs="Arial"/>
          <w:b/>
          <w:sz w:val="22"/>
          <w:szCs w:val="22"/>
        </w:rPr>
        <w:t>-</w:t>
      </w:r>
      <w:r>
        <w:rPr>
          <w:rFonts w:ascii="Arial" w:hAnsi="Arial" w:cs="Arial"/>
          <w:b/>
          <w:sz w:val="22"/>
          <w:szCs w:val="22"/>
        </w:rPr>
        <w:t xml:space="preserve">bid conference will be held at the TSTC Waco Physical Plant conference room located at 1200 Greenway on the TSTC Waco campus on </w:t>
      </w:r>
      <w:r w:rsidR="000A2497">
        <w:rPr>
          <w:rFonts w:ascii="Arial" w:hAnsi="Arial" w:cs="Arial"/>
          <w:b/>
          <w:sz w:val="22"/>
          <w:szCs w:val="22"/>
        </w:rPr>
        <w:t>November 01</w:t>
      </w:r>
      <w:r>
        <w:rPr>
          <w:rFonts w:ascii="Arial" w:hAnsi="Arial" w:cs="Arial"/>
          <w:b/>
          <w:sz w:val="22"/>
          <w:szCs w:val="22"/>
        </w:rPr>
        <w:t>, 2011 at 10 AM by Mike Ratliff Project Manager</w:t>
      </w:r>
    </w:p>
    <w:p w:rsidR="00555AB4" w:rsidRDefault="00C32A8E" w:rsidP="00E46414">
      <w:pPr>
        <w:spacing w:before="100" w:beforeAutospacing="1" w:after="100" w:afterAutospacing="1"/>
        <w:ind w:left="720"/>
        <w:rPr>
          <w:rFonts w:ascii="Arial" w:hAnsi="Arial" w:cs="Arial"/>
          <w:b/>
          <w:sz w:val="22"/>
          <w:szCs w:val="22"/>
        </w:rPr>
      </w:pPr>
      <w:r>
        <w:rPr>
          <w:rFonts w:ascii="Arial" w:hAnsi="Arial" w:cs="Arial"/>
          <w:b/>
          <w:sz w:val="22"/>
          <w:szCs w:val="22"/>
        </w:rPr>
        <w:t xml:space="preserve">All work </w:t>
      </w:r>
      <w:r w:rsidR="001D6EAF">
        <w:rPr>
          <w:rFonts w:ascii="Arial" w:hAnsi="Arial" w:cs="Arial"/>
          <w:b/>
          <w:sz w:val="22"/>
          <w:szCs w:val="22"/>
        </w:rPr>
        <w:t>shall</w:t>
      </w:r>
      <w:r>
        <w:rPr>
          <w:rFonts w:ascii="Arial" w:hAnsi="Arial" w:cs="Arial"/>
          <w:b/>
          <w:sz w:val="22"/>
          <w:szCs w:val="22"/>
        </w:rPr>
        <w:t xml:space="preserve"> be completed </w:t>
      </w:r>
      <w:r w:rsidR="000A2497">
        <w:rPr>
          <w:rFonts w:ascii="Arial" w:hAnsi="Arial" w:cs="Arial"/>
          <w:b/>
          <w:sz w:val="22"/>
          <w:szCs w:val="22"/>
        </w:rPr>
        <w:t>between Dec. 10, 2011 and Jan. 04, 2012.</w:t>
      </w:r>
      <w:r w:rsidR="00555AB4">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407354" w:rsidRDefault="00407354" w:rsidP="00025C3B">
      <w:pPr>
        <w:spacing w:before="100" w:beforeAutospacing="1" w:after="100" w:afterAutospacing="1"/>
        <w:rPr>
          <w:rFonts w:ascii="Arial" w:hAnsi="Arial" w:cs="Arial"/>
          <w:sz w:val="22"/>
          <w:szCs w:val="22"/>
        </w:rPr>
      </w:pPr>
    </w:p>
    <w:p w:rsidR="00407354" w:rsidRDefault="00407354" w:rsidP="00025C3B">
      <w:pPr>
        <w:spacing w:before="100" w:beforeAutospacing="1" w:after="100" w:afterAutospacing="1"/>
        <w:rPr>
          <w:rFonts w:ascii="Arial" w:hAnsi="Arial" w:cs="Arial"/>
          <w:sz w:val="22"/>
          <w:szCs w:val="22"/>
        </w:rPr>
      </w:pPr>
    </w:p>
    <w:p w:rsidR="006E6A65" w:rsidRPr="00C92488" w:rsidRDefault="006E6A65"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 xml:space="preserve">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w:t>
      </w:r>
      <w:r>
        <w:rPr>
          <w:sz w:val="22"/>
        </w:rPr>
        <w:lastRenderedPageBreak/>
        <w:t>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 xml:space="preserve">The Contractor shall obtain at his expense an Owner’s Protective Liability Insurance </w:t>
      </w:r>
      <w:r>
        <w:rPr>
          <w:sz w:val="22"/>
        </w:rPr>
        <w:lastRenderedPageBreak/>
        <w:t>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xml:space="preserve">, or any of its obligations under this contract, in whole or in </w:t>
      </w:r>
      <w:r w:rsidRPr="00C92488">
        <w:rPr>
          <w:rFonts w:ascii="Arial" w:hAnsi="Arial" w:cs="Arial"/>
          <w:sz w:val="22"/>
          <w:szCs w:val="22"/>
        </w:rPr>
        <w:lastRenderedPageBreak/>
        <w:t>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AE1992">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bookmarkEnd w:id="0"/>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Default="00555AB4" w:rsidP="00AA7391">
      <w:pPr>
        <w:rPr>
          <w:rFonts w:ascii="Arial" w:hAnsi="Arial" w:cs="Arial"/>
          <w:color w:val="C00000"/>
          <w:sz w:val="22"/>
          <w:szCs w:val="22"/>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     </w:t>
      </w:r>
      <w:r>
        <w:rPr>
          <w:rFonts w:ascii="Arial" w:hAnsi="Arial" w:cs="Arial"/>
          <w:sz w:val="22"/>
          <w:szCs w:val="22"/>
        </w:rPr>
        <w:t xml:space="preserve"> </w:t>
      </w:r>
      <w:r w:rsidR="00AE1992">
        <w:rPr>
          <w:rFonts w:ascii="Arial" w:hAnsi="Arial" w:cs="Arial"/>
          <w:color w:val="C00000"/>
          <w:sz w:val="22"/>
          <w:szCs w:val="22"/>
        </w:rPr>
        <w:t>1215W</w:t>
      </w:r>
    </w:p>
    <w:p w:rsidR="00AE1992" w:rsidRDefault="00AE1992" w:rsidP="00AA7391">
      <w:pPr>
        <w:rPr>
          <w:rFonts w:ascii="Arial" w:hAnsi="Arial" w:cs="Arial"/>
          <w:b/>
          <w:sz w:val="24"/>
          <w:szCs w:val="24"/>
        </w:rPr>
      </w:pP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 xml:space="preserve">ADDENDUMS ACKNOWLEGED: </w:t>
      </w:r>
      <w:r w:rsidR="00AE1992">
        <w:rPr>
          <w:rFonts w:ascii="Arial" w:hAnsi="Arial" w:cs="Arial"/>
          <w:b/>
          <w:i/>
          <w:sz w:val="22"/>
          <w:szCs w:val="22"/>
        </w:rPr>
        <w:t xml:space="preserve">(if any)   </w:t>
      </w:r>
      <w:r w:rsidRPr="00C92488">
        <w:rPr>
          <w:rFonts w:ascii="Arial" w:hAnsi="Arial" w:cs="Arial"/>
          <w:b/>
          <w:i/>
          <w:sz w:val="22"/>
          <w:szCs w:val="22"/>
        </w:rPr>
        <w:t>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1" w:name="Text47"/>
        <w:tc>
          <w:tcPr>
            <w:tcW w:w="3888" w:type="dxa"/>
            <w:tcBorders>
              <w:top w:val="nil"/>
              <w:left w:val="nil"/>
              <w:bottom w:val="nil"/>
              <w:right w:val="nil"/>
            </w:tcBorders>
          </w:tcPr>
          <w:p w:rsidR="00555AB4" w:rsidRPr="001F23B5" w:rsidRDefault="00944C58"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2" w:name="Text48"/>
        <w:tc>
          <w:tcPr>
            <w:tcW w:w="3888" w:type="dxa"/>
            <w:tcBorders>
              <w:left w:val="nil"/>
              <w:right w:val="nil"/>
            </w:tcBorders>
          </w:tcPr>
          <w:p w:rsidR="00555AB4" w:rsidRPr="001F23B5" w:rsidRDefault="00944C58"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3" w:name="Text49"/>
        <w:tc>
          <w:tcPr>
            <w:tcW w:w="3888" w:type="dxa"/>
            <w:tcBorders>
              <w:top w:val="nil"/>
              <w:left w:val="nil"/>
              <w:bottom w:val="nil"/>
              <w:right w:val="nil"/>
            </w:tcBorders>
          </w:tcPr>
          <w:p w:rsidR="00555AB4" w:rsidRPr="001F23B5" w:rsidRDefault="00944C58"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4" w:name="Text50"/>
        <w:tc>
          <w:tcPr>
            <w:tcW w:w="3888" w:type="dxa"/>
            <w:tcBorders>
              <w:left w:val="nil"/>
              <w:bottom w:val="nil"/>
              <w:right w:val="nil"/>
            </w:tcBorders>
          </w:tcPr>
          <w:p w:rsidR="00555AB4" w:rsidRPr="001F23B5" w:rsidRDefault="00944C58"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5" w:name="Text51"/>
        <w:tc>
          <w:tcPr>
            <w:tcW w:w="3888" w:type="dxa"/>
            <w:tcBorders>
              <w:left w:val="nil"/>
              <w:right w:val="nil"/>
            </w:tcBorders>
          </w:tcPr>
          <w:p w:rsidR="00555AB4" w:rsidRPr="001F23B5" w:rsidRDefault="00944C58"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6" w:name="Text52"/>
        <w:tc>
          <w:tcPr>
            <w:tcW w:w="3888" w:type="dxa"/>
            <w:tcBorders>
              <w:top w:val="nil"/>
              <w:left w:val="nil"/>
              <w:right w:val="nil"/>
            </w:tcBorders>
          </w:tcPr>
          <w:p w:rsidR="00555AB4" w:rsidRPr="001F23B5" w:rsidRDefault="00944C58"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7" w:name="Text53"/>
        <w:tc>
          <w:tcPr>
            <w:tcW w:w="3888" w:type="dxa"/>
            <w:tcBorders>
              <w:top w:val="nil"/>
              <w:left w:val="nil"/>
              <w:right w:val="nil"/>
            </w:tcBorders>
          </w:tcPr>
          <w:p w:rsidR="00555AB4" w:rsidRPr="001F23B5" w:rsidRDefault="00944C58"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8" w:name="Text56"/>
        <w:tc>
          <w:tcPr>
            <w:tcW w:w="3888" w:type="dxa"/>
            <w:tcBorders>
              <w:top w:val="nil"/>
              <w:left w:val="nil"/>
              <w:right w:val="nil"/>
            </w:tcBorders>
          </w:tcPr>
          <w:p w:rsidR="00555AB4" w:rsidRPr="001F23B5" w:rsidRDefault="00944C58"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AE1992" w:rsidRDefault="00555AB4">
      <w:pPr>
        <w:rPr>
          <w:rFonts w:ascii="Arial" w:hAnsi="Arial" w:cs="Arial"/>
          <w:b/>
          <w:color w:val="000000"/>
          <w:szCs w:val="22"/>
        </w:rPr>
      </w:pPr>
      <w:r w:rsidRPr="00AE1992">
        <w:rPr>
          <w:rFonts w:ascii="Arial" w:hAnsi="Arial" w:cs="Arial"/>
          <w:b/>
          <w:color w:val="000000"/>
          <w:szCs w:val="22"/>
        </w:rPr>
        <w:t>The proposer acknowledges by his signature:</w:t>
      </w:r>
    </w:p>
    <w:p w:rsidR="00555AB4" w:rsidRPr="00AE1992" w:rsidRDefault="00555AB4" w:rsidP="00CC149A">
      <w:pPr>
        <w:numPr>
          <w:ilvl w:val="0"/>
          <w:numId w:val="3"/>
        </w:numPr>
        <w:rPr>
          <w:rFonts w:ascii="Arial" w:hAnsi="Arial" w:cs="Arial"/>
          <w:b/>
          <w:color w:val="000000"/>
          <w:szCs w:val="22"/>
        </w:rPr>
      </w:pPr>
      <w:r w:rsidRPr="00AE1992">
        <w:rPr>
          <w:rFonts w:ascii="Arial" w:hAnsi="Arial" w:cs="Arial"/>
          <w:b/>
          <w:color w:val="000000"/>
          <w:szCs w:val="22"/>
        </w:rPr>
        <w:t>Proposer has received, read, and understands the proposal documents, and his proposal is made in accordance therewith.</w:t>
      </w:r>
    </w:p>
    <w:p w:rsidR="00555AB4" w:rsidRPr="00AE1992" w:rsidRDefault="00555AB4" w:rsidP="00CC149A">
      <w:pPr>
        <w:numPr>
          <w:ilvl w:val="0"/>
          <w:numId w:val="3"/>
        </w:numPr>
        <w:rPr>
          <w:rFonts w:ascii="Arial" w:hAnsi="Arial" w:cs="Arial"/>
          <w:b/>
          <w:color w:val="000000"/>
          <w:szCs w:val="22"/>
        </w:rPr>
      </w:pPr>
      <w:r w:rsidRPr="00AE1992">
        <w:rPr>
          <w:rFonts w:ascii="Arial" w:hAnsi="Arial" w:cs="Arial"/>
          <w:b/>
          <w:color w:val="000000"/>
          <w:szCs w:val="22"/>
        </w:rPr>
        <w:t>Proposer is in agreement to:</w:t>
      </w:r>
    </w:p>
    <w:p w:rsidR="00555AB4" w:rsidRPr="00AE1992" w:rsidRDefault="00555AB4" w:rsidP="00CC149A">
      <w:pPr>
        <w:numPr>
          <w:ilvl w:val="1"/>
          <w:numId w:val="3"/>
        </w:numPr>
        <w:rPr>
          <w:rFonts w:ascii="Arial" w:hAnsi="Arial" w:cs="Arial"/>
          <w:b/>
          <w:color w:val="000000"/>
          <w:szCs w:val="22"/>
        </w:rPr>
      </w:pPr>
      <w:r w:rsidRPr="00AE1992">
        <w:rPr>
          <w:rFonts w:ascii="Arial" w:hAnsi="Arial" w:cs="Arial"/>
          <w:b/>
          <w:color w:val="000000"/>
          <w:szCs w:val="22"/>
        </w:rPr>
        <w:t>Hold-open his proposal for sixty (60) days from date of proposal opening</w:t>
      </w:r>
    </w:p>
    <w:p w:rsidR="00555AB4" w:rsidRPr="00AE1992" w:rsidRDefault="00555AB4" w:rsidP="00CC149A">
      <w:pPr>
        <w:numPr>
          <w:ilvl w:val="1"/>
          <w:numId w:val="3"/>
        </w:numPr>
        <w:rPr>
          <w:rFonts w:ascii="Arial" w:hAnsi="Arial" w:cs="Arial"/>
          <w:b/>
          <w:color w:val="000000"/>
          <w:szCs w:val="22"/>
        </w:rPr>
      </w:pPr>
      <w:r w:rsidRPr="00AE1992">
        <w:rPr>
          <w:rFonts w:ascii="Arial" w:hAnsi="Arial" w:cs="Arial"/>
          <w:b/>
          <w:color w:val="000000"/>
          <w:szCs w:val="22"/>
        </w:rPr>
        <w:t>Accept a purchase order as “Notice to Proceed”, if awarded on the basis of this proposal</w:t>
      </w:r>
    </w:p>
    <w:p w:rsidR="00555AB4" w:rsidRPr="00AE1992" w:rsidRDefault="00555AB4" w:rsidP="00CC149A">
      <w:pPr>
        <w:numPr>
          <w:ilvl w:val="1"/>
          <w:numId w:val="3"/>
        </w:numPr>
        <w:rPr>
          <w:rFonts w:ascii="Arial" w:hAnsi="Arial" w:cs="Arial"/>
          <w:b/>
          <w:color w:val="000000"/>
          <w:szCs w:val="22"/>
        </w:rPr>
      </w:pPr>
      <w:r w:rsidRPr="00AE1992">
        <w:rPr>
          <w:rFonts w:ascii="Arial" w:hAnsi="Arial" w:cs="Arial"/>
          <w:b/>
          <w:color w:val="000000"/>
          <w:szCs w:val="22"/>
        </w:rPr>
        <w:t>Comply with the schedule provided</w:t>
      </w:r>
    </w:p>
    <w:p w:rsidR="00555AB4" w:rsidRPr="00AE1992" w:rsidRDefault="00555AB4" w:rsidP="00CC149A">
      <w:pPr>
        <w:numPr>
          <w:ilvl w:val="0"/>
          <w:numId w:val="3"/>
        </w:numPr>
        <w:rPr>
          <w:rFonts w:ascii="Arial" w:hAnsi="Arial" w:cs="Arial"/>
          <w:b/>
          <w:color w:val="000000"/>
          <w:szCs w:val="22"/>
        </w:rPr>
      </w:pPr>
      <w:r w:rsidRPr="00AE1992">
        <w:rPr>
          <w:rFonts w:ascii="Arial" w:hAnsi="Arial" w:cs="Arial"/>
          <w:b/>
          <w:color w:val="000000"/>
          <w:szCs w:val="22"/>
        </w:rPr>
        <w:t>These proposals are submitted with a declaration that no employee of the Owner has a financial or beneficial interest in this transaction.</w:t>
      </w:r>
    </w:p>
    <w:p w:rsidR="00555AB4" w:rsidRPr="00AE1992" w:rsidRDefault="00555AB4">
      <w:pPr>
        <w:rPr>
          <w:rFonts w:ascii="Arial" w:hAnsi="Arial" w:cs="Arial"/>
          <w:b/>
          <w:color w:val="000000"/>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9" w:name="Text39"/>
        <w:tc>
          <w:tcPr>
            <w:tcW w:w="3780" w:type="dxa"/>
            <w:tcBorders>
              <w:top w:val="nil"/>
              <w:left w:val="nil"/>
              <w:right w:val="nil"/>
            </w:tcBorders>
          </w:tcPr>
          <w:p w:rsidR="00555AB4" w:rsidRPr="001F23B5" w:rsidRDefault="00944C58"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0" w:name="Text40"/>
        <w:tc>
          <w:tcPr>
            <w:tcW w:w="4068" w:type="dxa"/>
            <w:tcBorders>
              <w:top w:val="nil"/>
              <w:left w:val="nil"/>
              <w:right w:val="nil"/>
            </w:tcBorders>
          </w:tcPr>
          <w:p w:rsidR="00555AB4" w:rsidRPr="001F23B5" w:rsidRDefault="00944C58"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1" w:name="Text41"/>
      <w:tr w:rsidR="00555AB4" w:rsidRPr="001F23B5" w:rsidTr="0083677E">
        <w:trPr>
          <w:trHeight w:val="300"/>
        </w:trPr>
        <w:tc>
          <w:tcPr>
            <w:tcW w:w="4680" w:type="dxa"/>
            <w:gridSpan w:val="2"/>
            <w:tcBorders>
              <w:top w:val="nil"/>
              <w:left w:val="nil"/>
              <w:right w:val="nil"/>
            </w:tcBorders>
          </w:tcPr>
          <w:p w:rsidR="00555AB4" w:rsidRPr="001F23B5" w:rsidRDefault="00944C58"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2" w:name="Text42"/>
        <w:tc>
          <w:tcPr>
            <w:tcW w:w="4068" w:type="dxa"/>
            <w:tcBorders>
              <w:top w:val="nil"/>
              <w:left w:val="nil"/>
              <w:right w:val="nil"/>
            </w:tcBorders>
          </w:tcPr>
          <w:p w:rsidR="00555AB4" w:rsidRPr="001F23B5" w:rsidRDefault="00944C58"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3" w:name="Text43"/>
      <w:tr w:rsidR="00555AB4" w:rsidRPr="001F23B5" w:rsidTr="0083677E">
        <w:trPr>
          <w:trHeight w:val="300"/>
        </w:trPr>
        <w:tc>
          <w:tcPr>
            <w:tcW w:w="4680" w:type="dxa"/>
            <w:gridSpan w:val="2"/>
            <w:tcBorders>
              <w:top w:val="nil"/>
              <w:left w:val="nil"/>
              <w:right w:val="nil"/>
            </w:tcBorders>
          </w:tcPr>
          <w:p w:rsidR="00555AB4" w:rsidRPr="001F23B5" w:rsidRDefault="00944C58"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4" w:name="Text44"/>
        <w:tc>
          <w:tcPr>
            <w:tcW w:w="4068" w:type="dxa"/>
            <w:tcBorders>
              <w:top w:val="nil"/>
              <w:left w:val="nil"/>
              <w:right w:val="nil"/>
            </w:tcBorders>
          </w:tcPr>
          <w:p w:rsidR="00555AB4" w:rsidRPr="001F23B5" w:rsidRDefault="00944C58"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5" w:name="Text45"/>
      <w:tr w:rsidR="00555AB4" w:rsidRPr="001F23B5" w:rsidTr="0083677E">
        <w:trPr>
          <w:trHeight w:val="300"/>
        </w:trPr>
        <w:tc>
          <w:tcPr>
            <w:tcW w:w="4680" w:type="dxa"/>
            <w:gridSpan w:val="2"/>
            <w:tcBorders>
              <w:top w:val="nil"/>
              <w:left w:val="nil"/>
              <w:right w:val="nil"/>
            </w:tcBorders>
          </w:tcPr>
          <w:p w:rsidR="00555AB4" w:rsidRPr="001F23B5" w:rsidRDefault="00944C58"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6" w:name="Text46"/>
        <w:tc>
          <w:tcPr>
            <w:tcW w:w="4068" w:type="dxa"/>
            <w:tcBorders>
              <w:top w:val="nil"/>
              <w:left w:val="nil"/>
              <w:right w:val="nil"/>
            </w:tcBorders>
          </w:tcPr>
          <w:p w:rsidR="00555AB4" w:rsidRPr="001F23B5" w:rsidRDefault="00944C58"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xml:space="preserve">) neither the execution of this Agreement by Owner nor any other conduct, action or inaction of any </w:t>
      </w:r>
      <w:r w:rsidRPr="00C92488">
        <w:rPr>
          <w:rFonts w:ascii="Arial" w:hAnsi="Arial" w:cs="Arial"/>
          <w:i/>
          <w:sz w:val="22"/>
          <w:szCs w:val="22"/>
        </w:rPr>
        <w:lastRenderedPageBreak/>
        <w:t>representative of Owner relating to this Agreement constitutes or 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7" w:name="135.58.00"/>
      <w:bookmarkEnd w:id="17"/>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5"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6"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lastRenderedPageBreak/>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r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CF53F5" w:rsidRDefault="00555AB4"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614B36" w:rsidRDefault="00614B36" w:rsidP="0035640D">
      <w:pPr>
        <w:tabs>
          <w:tab w:val="left" w:pos="-720"/>
          <w:tab w:val="left" w:pos="0"/>
          <w:tab w:val="left" w:pos="3600"/>
        </w:tabs>
        <w:ind w:left="1260" w:hanging="1170"/>
        <w:jc w:val="both"/>
        <w:rPr>
          <w:rFonts w:ascii="Arial" w:hAnsi="Arial" w:cs="Arial"/>
          <w:sz w:val="22"/>
          <w:szCs w:val="22"/>
        </w:rPr>
      </w:pPr>
    </w:p>
    <w:p w:rsidR="001E4A2E" w:rsidRDefault="001E4A2E" w:rsidP="00156806">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1E4A2E" w:rsidRDefault="001E4A2E" w:rsidP="00851E54">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sidR="00156806">
        <w:rPr>
          <w:rFonts w:ascii="Arial" w:hAnsi="Arial" w:cs="Arial"/>
          <w:sz w:val="24"/>
          <w:szCs w:val="24"/>
        </w:rPr>
        <w:tab/>
      </w:r>
      <w:r>
        <w:rPr>
          <w:rFonts w:ascii="Arial" w:hAnsi="Arial" w:cs="Arial"/>
          <w:sz w:val="24"/>
          <w:szCs w:val="24"/>
        </w:rPr>
        <w:t>A Payment Bond is required if the Contract Price is in excess of $</w:t>
      </w:r>
      <w:r w:rsidR="00853622">
        <w:rPr>
          <w:rFonts w:ascii="Arial" w:hAnsi="Arial" w:cs="Arial"/>
          <w:sz w:val="24"/>
          <w:szCs w:val="24"/>
        </w:rPr>
        <w:t>25</w:t>
      </w:r>
      <w:r>
        <w:rPr>
          <w:rFonts w:ascii="Arial" w:hAnsi="Arial" w:cs="Arial"/>
          <w:sz w:val="24"/>
          <w:szCs w:val="24"/>
        </w:rPr>
        <w:t>,000.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sidR="00156806">
        <w:rPr>
          <w:rFonts w:ascii="Arial" w:hAnsi="Arial" w:cs="Arial"/>
          <w:sz w:val="24"/>
          <w:szCs w:val="24"/>
        </w:rPr>
        <w:tab/>
      </w:r>
      <w:r>
        <w:rPr>
          <w:rFonts w:ascii="Arial" w:hAnsi="Arial" w:cs="Arial"/>
          <w:sz w:val="24"/>
          <w:szCs w:val="24"/>
        </w:rPr>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1E4A2E" w:rsidRDefault="001E4A2E" w:rsidP="001E4A2E">
      <w:pPr>
        <w:autoSpaceDE w:val="0"/>
        <w:autoSpaceDN w:val="0"/>
        <w:adjustRightInd w:val="0"/>
        <w:rPr>
          <w:rFonts w:ascii="Arial" w:hAnsi="Arial" w:cs="Arial"/>
          <w:sz w:val="24"/>
          <w:szCs w:val="24"/>
        </w:rPr>
      </w:pPr>
    </w:p>
    <w:p w:rsidR="00614B36" w:rsidRDefault="001E4A2E" w:rsidP="00851E54">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sidR="00156806">
        <w:rPr>
          <w:rFonts w:ascii="Arial" w:hAnsi="Arial" w:cs="Arial"/>
          <w:sz w:val="24"/>
          <w:szCs w:val="24"/>
        </w:rPr>
        <w:tab/>
      </w:r>
      <w:r>
        <w:rPr>
          <w:rFonts w:ascii="Arial" w:hAnsi="Arial" w:cs="Arial"/>
          <w:sz w:val="24"/>
          <w:szCs w:val="24"/>
        </w:rPr>
        <w:t xml:space="preserve">Power of Attorney. Each bond shall be accompanied by a valid </w:t>
      </w:r>
      <w:proofErr w:type="spellStart"/>
      <w:r>
        <w:rPr>
          <w:rFonts w:ascii="Arial" w:hAnsi="Arial" w:cs="Arial"/>
          <w:sz w:val="24"/>
          <w:szCs w:val="24"/>
        </w:rPr>
        <w:t>Powerof</w:t>
      </w:r>
      <w:proofErr w:type="spellEnd"/>
      <w:r>
        <w:rPr>
          <w:rFonts w:ascii="Arial" w:hAnsi="Arial" w:cs="Arial"/>
          <w:sz w:val="24"/>
          <w:szCs w:val="24"/>
        </w:rPr>
        <w:t>-Attorney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555AB4" w:rsidRPr="000A2497" w:rsidRDefault="00B70DAC" w:rsidP="000A2497">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555AB4" w:rsidRDefault="00705F35">
      <w:pPr>
        <w:rPr>
          <w:rFonts w:ascii="Arial" w:hAnsi="Arial" w:cs="Arial"/>
          <w:b/>
          <w:color w:val="000000"/>
          <w:sz w:val="24"/>
          <w:szCs w:val="24"/>
        </w:rPr>
      </w:pPr>
      <w:r>
        <w:lastRenderedPageBreak/>
        <w:pict>
          <v:shape id="_x0000_i1027" type="#_x0000_t75" style="width:497.75pt;height:645.5pt">
            <v:imagedata r:id="rId17" o:title=""/>
          </v:shape>
        </w:pict>
      </w:r>
    </w:p>
    <w:p w:rsidR="00555AB4" w:rsidRDefault="00705F35">
      <w:r>
        <w:lastRenderedPageBreak/>
        <w:pict>
          <v:shape id="_x0000_i1028" type="#_x0000_t75" style="width:464.55pt;height:601.05pt">
            <v:imagedata r:id="rId18" o:title=""/>
          </v:shape>
        </w:pict>
      </w:r>
    </w:p>
    <w:p w:rsidR="005C7335" w:rsidRPr="000C3ADA" w:rsidRDefault="005C7335" w:rsidP="000C3ADA">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555AB4" w:rsidRDefault="00555AB4">
      <w:pPr>
        <w:rPr>
          <w:rFonts w:ascii="Arial" w:hAnsi="Arial" w:cs="Arial"/>
          <w:b/>
          <w:color w:val="000000"/>
          <w:sz w:val="24"/>
          <w:szCs w:val="24"/>
        </w:rPr>
      </w:pPr>
    </w:p>
    <w:p w:rsidR="007D616C" w:rsidRDefault="007D616C">
      <w:pPr>
        <w:rPr>
          <w:rFonts w:ascii="Arial" w:hAnsi="Arial" w:cs="Arial"/>
          <w:b/>
          <w:color w:val="000000"/>
          <w:sz w:val="24"/>
          <w:szCs w:val="24"/>
        </w:rPr>
      </w:pPr>
    </w:p>
    <w:p w:rsidR="007D616C" w:rsidRDefault="00705F35">
      <w:r>
        <w:pict>
          <v:shape id="_x0000_i1029" type="#_x0000_t75" style="width:467.7pt;height:607.3pt">
            <v:imagedata r:id="rId19" o:title=""/>
          </v:shape>
        </w:pict>
      </w:r>
    </w:p>
    <w:p w:rsidR="007D616C" w:rsidRDefault="007D616C"/>
    <w:p w:rsidR="007D616C" w:rsidRDefault="007D616C"/>
    <w:p w:rsidR="007D616C" w:rsidRDefault="007D616C"/>
    <w:p w:rsidR="00237A46" w:rsidRDefault="00237A46" w:rsidP="00237A46">
      <w:pPr>
        <w:rPr>
          <w:b/>
        </w:rPr>
      </w:pPr>
    </w:p>
    <w:p w:rsidR="00237A46" w:rsidRDefault="00237A46" w:rsidP="00237A46">
      <w:pPr>
        <w:rPr>
          <w:b/>
        </w:rPr>
      </w:pPr>
      <w:r>
        <w:rPr>
          <w:b/>
        </w:rPr>
        <w:t>GENERAL NOTES:</w:t>
      </w:r>
    </w:p>
    <w:p w:rsidR="00237A46" w:rsidRDefault="00237A46" w:rsidP="00237A46">
      <w:pPr>
        <w:rPr>
          <w:b/>
        </w:rPr>
      </w:pPr>
      <w:r>
        <w:rPr>
          <w:b/>
        </w:rPr>
        <w:t>Plastic sheathing dust barriers shall be in furnished and in place during all phases of work.</w:t>
      </w:r>
    </w:p>
    <w:p w:rsidR="00237A46" w:rsidRDefault="00237A46" w:rsidP="00237A46">
      <w:pPr>
        <w:rPr>
          <w:b/>
        </w:rPr>
      </w:pPr>
      <w:r>
        <w:rPr>
          <w:b/>
        </w:rPr>
        <w:t>Pedestrian barricades shall be furnished and in place at all phases of work except for flooring.</w:t>
      </w:r>
    </w:p>
    <w:p w:rsidR="00237A46" w:rsidRDefault="00237A46" w:rsidP="00237A46">
      <w:pPr>
        <w:rPr>
          <w:b/>
        </w:rPr>
      </w:pPr>
      <w:r>
        <w:rPr>
          <w:b/>
        </w:rPr>
        <w:t>Contractor shall clean up their construction debris daily.</w:t>
      </w:r>
    </w:p>
    <w:p w:rsidR="00237A46" w:rsidRDefault="00237A46" w:rsidP="00237A46">
      <w:pPr>
        <w:rPr>
          <w:b/>
        </w:rPr>
      </w:pPr>
    </w:p>
    <w:p w:rsidR="00237A46" w:rsidRDefault="00237A46" w:rsidP="00237A46">
      <w:pPr>
        <w:rPr>
          <w:b/>
        </w:rPr>
      </w:pPr>
      <w:r>
        <w:rPr>
          <w:b/>
        </w:rPr>
        <w:t>Demo:</w:t>
      </w:r>
    </w:p>
    <w:p w:rsidR="00237A46" w:rsidRDefault="00237A46" w:rsidP="0060115E">
      <w:pPr>
        <w:pStyle w:val="ListParagraph"/>
        <w:numPr>
          <w:ilvl w:val="0"/>
          <w:numId w:val="12"/>
        </w:numPr>
        <w:rPr>
          <w:b/>
        </w:rPr>
      </w:pPr>
      <w:r>
        <w:rPr>
          <w:b/>
        </w:rPr>
        <w:t>Remove electrical in wall that separates custodial closet (137B) and classroom (137) and wall that separates laser dark room (136) from classroom (137). This includes removal of a service panel and installation of a new 200 amp service panel in a different location inside of room.</w:t>
      </w:r>
    </w:p>
    <w:p w:rsidR="00237A46" w:rsidRDefault="00237A46" w:rsidP="0060115E">
      <w:pPr>
        <w:pStyle w:val="ListParagraph"/>
        <w:numPr>
          <w:ilvl w:val="0"/>
          <w:numId w:val="12"/>
        </w:numPr>
        <w:rPr>
          <w:b/>
        </w:rPr>
      </w:pPr>
      <w:r>
        <w:rPr>
          <w:b/>
        </w:rPr>
        <w:t>Remove air supply copper tubing that run against the walls in Rm137</w:t>
      </w:r>
    </w:p>
    <w:p w:rsidR="00237A46" w:rsidRDefault="00237A46" w:rsidP="0060115E">
      <w:pPr>
        <w:pStyle w:val="ListParagraph"/>
        <w:numPr>
          <w:ilvl w:val="0"/>
          <w:numId w:val="12"/>
        </w:numPr>
        <w:rPr>
          <w:b/>
        </w:rPr>
      </w:pPr>
      <w:r>
        <w:rPr>
          <w:b/>
        </w:rPr>
        <w:t>Remove cabinets against walls and in center of room. All electrical and plumbing in cabinets to be removed other than electrical that is in wall that separates 137 and 137A&amp;D</w:t>
      </w:r>
    </w:p>
    <w:p w:rsidR="00237A46" w:rsidRDefault="00237A46" w:rsidP="0060115E">
      <w:pPr>
        <w:pStyle w:val="ListParagraph"/>
        <w:numPr>
          <w:ilvl w:val="0"/>
          <w:numId w:val="12"/>
        </w:numPr>
        <w:rPr>
          <w:b/>
        </w:rPr>
      </w:pPr>
      <w:r>
        <w:rPr>
          <w:b/>
        </w:rPr>
        <w:t xml:space="preserve">Remove ceiling tiles and grid attached to walls to be removed. This will encompass the ceiling in </w:t>
      </w:r>
      <w:proofErr w:type="spellStart"/>
      <w:r>
        <w:rPr>
          <w:b/>
        </w:rPr>
        <w:t>Rm</w:t>
      </w:r>
      <w:proofErr w:type="spellEnd"/>
      <w:r>
        <w:rPr>
          <w:b/>
        </w:rPr>
        <w:t xml:space="preserve"> 137B and </w:t>
      </w:r>
      <w:proofErr w:type="spellStart"/>
      <w:r>
        <w:rPr>
          <w:b/>
        </w:rPr>
        <w:t>Rm</w:t>
      </w:r>
      <w:proofErr w:type="spellEnd"/>
      <w:r>
        <w:rPr>
          <w:b/>
        </w:rPr>
        <w:t xml:space="preserve"> 136(approx 320 </w:t>
      </w:r>
      <w:proofErr w:type="spellStart"/>
      <w:r>
        <w:rPr>
          <w:b/>
        </w:rPr>
        <w:t>sft</w:t>
      </w:r>
      <w:proofErr w:type="spellEnd"/>
      <w:r>
        <w:rPr>
          <w:b/>
        </w:rPr>
        <w:t>).</w:t>
      </w:r>
    </w:p>
    <w:p w:rsidR="00237A46" w:rsidRDefault="00237A46" w:rsidP="0060115E">
      <w:pPr>
        <w:pStyle w:val="ListParagraph"/>
        <w:numPr>
          <w:ilvl w:val="0"/>
          <w:numId w:val="12"/>
        </w:numPr>
        <w:rPr>
          <w:b/>
        </w:rPr>
      </w:pPr>
      <w:r>
        <w:rPr>
          <w:b/>
        </w:rPr>
        <w:t xml:space="preserve">Remove wall between custodial closet </w:t>
      </w:r>
      <w:proofErr w:type="spellStart"/>
      <w:r>
        <w:rPr>
          <w:b/>
        </w:rPr>
        <w:t>Rm</w:t>
      </w:r>
      <w:proofErr w:type="spellEnd"/>
      <w:r>
        <w:rPr>
          <w:b/>
        </w:rPr>
        <w:t xml:space="preserve"> 137B and laser dark room 136 along with electrical and plumbing</w:t>
      </w:r>
    </w:p>
    <w:p w:rsidR="00237A46" w:rsidRDefault="00237A46" w:rsidP="0060115E">
      <w:pPr>
        <w:pStyle w:val="ListParagraph"/>
        <w:numPr>
          <w:ilvl w:val="0"/>
          <w:numId w:val="12"/>
        </w:numPr>
        <w:rPr>
          <w:b/>
        </w:rPr>
      </w:pPr>
      <w:r>
        <w:rPr>
          <w:b/>
        </w:rPr>
        <w:t>Remove laser dark room door and store on campus. Storage location to be named later.</w:t>
      </w:r>
    </w:p>
    <w:p w:rsidR="00237A46" w:rsidRDefault="00237A46" w:rsidP="0060115E">
      <w:pPr>
        <w:pStyle w:val="ListParagraph"/>
        <w:numPr>
          <w:ilvl w:val="0"/>
          <w:numId w:val="12"/>
        </w:numPr>
        <w:rPr>
          <w:b/>
        </w:rPr>
      </w:pPr>
      <w:r>
        <w:rPr>
          <w:b/>
        </w:rPr>
        <w:t xml:space="preserve">Remove wall for laser dark room door frame (so that new wall will make a continuous hall wall for </w:t>
      </w:r>
      <w:proofErr w:type="spellStart"/>
      <w:r>
        <w:rPr>
          <w:b/>
        </w:rPr>
        <w:t>Rm</w:t>
      </w:r>
      <w:proofErr w:type="spellEnd"/>
      <w:r>
        <w:rPr>
          <w:b/>
        </w:rPr>
        <w:t xml:space="preserve"> 137- approx 4’). Do not remove wall that separates </w:t>
      </w:r>
      <w:proofErr w:type="spellStart"/>
      <w:r>
        <w:rPr>
          <w:b/>
        </w:rPr>
        <w:t>Rm</w:t>
      </w:r>
      <w:proofErr w:type="spellEnd"/>
      <w:r>
        <w:rPr>
          <w:b/>
        </w:rPr>
        <w:t xml:space="preserve"> 137 and </w:t>
      </w:r>
      <w:proofErr w:type="spellStart"/>
      <w:r>
        <w:rPr>
          <w:b/>
        </w:rPr>
        <w:t>Rm</w:t>
      </w:r>
      <w:proofErr w:type="spellEnd"/>
      <w:r>
        <w:rPr>
          <w:b/>
        </w:rPr>
        <w:t xml:space="preserve"> 134 </w:t>
      </w:r>
    </w:p>
    <w:p w:rsidR="00237A46" w:rsidRDefault="00237A46" w:rsidP="0060115E">
      <w:pPr>
        <w:pStyle w:val="ListParagraph"/>
        <w:numPr>
          <w:ilvl w:val="0"/>
          <w:numId w:val="12"/>
        </w:numPr>
        <w:rPr>
          <w:b/>
        </w:rPr>
      </w:pPr>
      <w:r>
        <w:rPr>
          <w:b/>
        </w:rPr>
        <w:t>Remove cabinets, plumbing, and electrical in laser dark room (136). Be careful not to damage water plumbing in this wall. It will be used for new sink to be installed.</w:t>
      </w:r>
    </w:p>
    <w:p w:rsidR="00237A46" w:rsidRDefault="00237A46" w:rsidP="0060115E">
      <w:pPr>
        <w:pStyle w:val="ListParagraph"/>
        <w:numPr>
          <w:ilvl w:val="0"/>
          <w:numId w:val="12"/>
        </w:numPr>
        <w:rPr>
          <w:b/>
        </w:rPr>
      </w:pPr>
      <w:r>
        <w:rPr>
          <w:b/>
        </w:rPr>
        <w:t>Remove roll up window in 137B.</w:t>
      </w:r>
    </w:p>
    <w:p w:rsidR="00237A46" w:rsidRDefault="00237A46" w:rsidP="00237A46">
      <w:pPr>
        <w:ind w:left="360"/>
        <w:rPr>
          <w:b/>
        </w:rPr>
      </w:pPr>
      <w:r>
        <w:rPr>
          <w:b/>
        </w:rPr>
        <w:t>NOTE: Laser will be removed by TSTC</w:t>
      </w:r>
    </w:p>
    <w:p w:rsidR="00237A46" w:rsidRDefault="00237A46" w:rsidP="00237A46">
      <w:pPr>
        <w:rPr>
          <w:b/>
        </w:rPr>
      </w:pPr>
    </w:p>
    <w:p w:rsidR="00237A46" w:rsidRDefault="00237A46" w:rsidP="00237A46">
      <w:pPr>
        <w:rPr>
          <w:b/>
        </w:rPr>
      </w:pPr>
      <w:r>
        <w:rPr>
          <w:b/>
        </w:rPr>
        <w:t>Construction:</w:t>
      </w:r>
    </w:p>
    <w:p w:rsidR="00237A46" w:rsidRDefault="00237A46" w:rsidP="0060115E">
      <w:pPr>
        <w:pStyle w:val="ListParagraph"/>
        <w:numPr>
          <w:ilvl w:val="0"/>
          <w:numId w:val="13"/>
        </w:numPr>
        <w:rPr>
          <w:b/>
        </w:rPr>
      </w:pPr>
      <w:r>
        <w:rPr>
          <w:b/>
        </w:rPr>
        <w:t>Remove door that leads to storage (137C) from classroom (137) and re-install it so that it swings the other direction.</w:t>
      </w:r>
    </w:p>
    <w:p w:rsidR="00237A46" w:rsidRDefault="00237A46" w:rsidP="0060115E">
      <w:pPr>
        <w:pStyle w:val="ListParagraph"/>
        <w:numPr>
          <w:ilvl w:val="0"/>
          <w:numId w:val="13"/>
        </w:numPr>
        <w:rPr>
          <w:b/>
        </w:rPr>
      </w:pPr>
      <w:r>
        <w:rPr>
          <w:b/>
        </w:rPr>
        <w:t>Remove laser dark room door. This door is screwed onto metal frame studs. Contractor shall take it to storage on campus. Storage shall be named later.</w:t>
      </w:r>
    </w:p>
    <w:p w:rsidR="00237A46" w:rsidRDefault="00237A46" w:rsidP="0060115E">
      <w:pPr>
        <w:pStyle w:val="ListParagraph"/>
        <w:numPr>
          <w:ilvl w:val="0"/>
          <w:numId w:val="13"/>
        </w:numPr>
        <w:rPr>
          <w:b/>
        </w:rPr>
      </w:pPr>
      <w:r>
        <w:rPr>
          <w:b/>
        </w:rPr>
        <w:t>Frame up opening left where laser dark room was removed. It shall be insulated (</w:t>
      </w:r>
      <w:r w:rsidR="00623B1B">
        <w:rPr>
          <w:b/>
        </w:rPr>
        <w:t xml:space="preserve">R-11 </w:t>
      </w:r>
      <w:r>
        <w:rPr>
          <w:b/>
        </w:rPr>
        <w:t xml:space="preserve">fiberglass </w:t>
      </w:r>
      <w:proofErr w:type="spellStart"/>
      <w:r>
        <w:rPr>
          <w:b/>
        </w:rPr>
        <w:t>batts</w:t>
      </w:r>
      <w:proofErr w:type="spellEnd"/>
      <w:r>
        <w:rPr>
          <w:b/>
        </w:rPr>
        <w:t>) and 5/8” drywall installed. This new wall will line up with hall wall. This wall shall frame from floor to roof deck (13’6”) with 3 5/8” metal studs. Ceiling ht. is 9’4”. Length approx 4’.</w:t>
      </w:r>
    </w:p>
    <w:p w:rsidR="00237A46" w:rsidRPr="000A2497" w:rsidRDefault="00237A46" w:rsidP="0060115E">
      <w:pPr>
        <w:pStyle w:val="ListParagraph"/>
        <w:numPr>
          <w:ilvl w:val="0"/>
          <w:numId w:val="13"/>
        </w:numPr>
        <w:rPr>
          <w:b/>
        </w:rPr>
      </w:pPr>
      <w:r>
        <w:rPr>
          <w:b/>
        </w:rPr>
        <w:t>Frame in opening left where roll up window was removed (approx. 4’x4’). Use 3 5/8” metal studs with</w:t>
      </w:r>
      <w:r w:rsidR="00623B1B">
        <w:rPr>
          <w:b/>
        </w:rPr>
        <w:t xml:space="preserve"> R-11 </w:t>
      </w:r>
      <w:r>
        <w:rPr>
          <w:b/>
        </w:rPr>
        <w:t xml:space="preserve">fiberglass </w:t>
      </w:r>
      <w:proofErr w:type="spellStart"/>
      <w:r>
        <w:rPr>
          <w:b/>
        </w:rPr>
        <w:t>batt</w:t>
      </w:r>
      <w:proofErr w:type="spellEnd"/>
      <w:r>
        <w:rPr>
          <w:b/>
        </w:rPr>
        <w:t xml:space="preserve"> insulation. Install 5/8” drywall, tape, bed, texture, and paint to match.</w:t>
      </w:r>
    </w:p>
    <w:p w:rsidR="00237A46" w:rsidRPr="003B5082" w:rsidRDefault="00237A46" w:rsidP="0060115E">
      <w:pPr>
        <w:pStyle w:val="ListParagraph"/>
        <w:numPr>
          <w:ilvl w:val="0"/>
          <w:numId w:val="13"/>
        </w:numPr>
        <w:rPr>
          <w:b/>
        </w:rPr>
      </w:pPr>
      <w:r w:rsidRPr="003B5082">
        <w:rPr>
          <w:b/>
        </w:rPr>
        <w:t>Frame floo</w:t>
      </w:r>
      <w:r>
        <w:rPr>
          <w:b/>
        </w:rPr>
        <w:t xml:space="preserve">r approx. (29’x29’) with 2”x4” </w:t>
      </w:r>
      <w:r w:rsidRPr="003B5082">
        <w:rPr>
          <w:b/>
        </w:rPr>
        <w:t xml:space="preserve">PT wood on 24” centers. Floor frame shall be attached with anchors no more than 3’ apart. Liquid Nail adhesive shall be applied to 2”x4” as they are installed on floor. Continuous 2”x4” around perimeter of wall. Frame for ADA ramp as shown (approx. 4’x5’). </w:t>
      </w:r>
    </w:p>
    <w:p w:rsidR="00237A46" w:rsidRDefault="00237A46" w:rsidP="0060115E">
      <w:pPr>
        <w:pStyle w:val="ListParagraph"/>
        <w:numPr>
          <w:ilvl w:val="0"/>
          <w:numId w:val="13"/>
        </w:numPr>
        <w:rPr>
          <w:b/>
        </w:rPr>
      </w:pPr>
      <w:r>
        <w:rPr>
          <w:b/>
        </w:rPr>
        <w:t>Furnish and install single metal hand rail on interior side of ramp.</w:t>
      </w:r>
    </w:p>
    <w:p w:rsidR="0060115E" w:rsidRDefault="0060115E" w:rsidP="0060115E">
      <w:pPr>
        <w:pStyle w:val="ListParagraph"/>
        <w:rPr>
          <w:b/>
        </w:rPr>
      </w:pPr>
    </w:p>
    <w:p w:rsidR="0060115E" w:rsidRDefault="0060115E" w:rsidP="0060115E">
      <w:pPr>
        <w:pStyle w:val="ListParagraph"/>
        <w:rPr>
          <w:b/>
        </w:rPr>
      </w:pPr>
    </w:p>
    <w:p w:rsidR="0060115E" w:rsidRDefault="0060115E" w:rsidP="0060115E">
      <w:pPr>
        <w:pStyle w:val="ListParagraph"/>
        <w:rPr>
          <w:b/>
        </w:rPr>
      </w:pPr>
    </w:p>
    <w:p w:rsidR="0060115E" w:rsidRDefault="0060115E" w:rsidP="0060115E">
      <w:pPr>
        <w:pStyle w:val="ListParagraph"/>
        <w:rPr>
          <w:b/>
        </w:rPr>
      </w:pPr>
    </w:p>
    <w:p w:rsidR="0060115E" w:rsidRDefault="0060115E" w:rsidP="0060115E">
      <w:pPr>
        <w:pStyle w:val="ListParagraph"/>
        <w:rPr>
          <w:b/>
        </w:rPr>
      </w:pPr>
    </w:p>
    <w:p w:rsidR="00237A46" w:rsidRDefault="00237A46" w:rsidP="0060115E">
      <w:pPr>
        <w:pStyle w:val="ListParagraph"/>
        <w:numPr>
          <w:ilvl w:val="0"/>
          <w:numId w:val="13"/>
        </w:numPr>
        <w:rPr>
          <w:b/>
        </w:rPr>
      </w:pPr>
      <w:r>
        <w:rPr>
          <w:b/>
        </w:rPr>
        <w:t xml:space="preserve">Install copper tubing and electrical for supply. The copper tubing supply should be a minimum ¾”I.D. The air and electrical supply for the work stations is to be fed inside of wall that separates </w:t>
      </w:r>
      <w:proofErr w:type="spellStart"/>
      <w:r>
        <w:rPr>
          <w:b/>
        </w:rPr>
        <w:t>Rm</w:t>
      </w:r>
      <w:proofErr w:type="spellEnd"/>
      <w:r>
        <w:rPr>
          <w:b/>
        </w:rPr>
        <w:t xml:space="preserve"> 137 &amp; </w:t>
      </w:r>
      <w:proofErr w:type="spellStart"/>
      <w:r>
        <w:rPr>
          <w:b/>
        </w:rPr>
        <w:t>Rm</w:t>
      </w:r>
      <w:proofErr w:type="spellEnd"/>
      <w:r>
        <w:rPr>
          <w:b/>
        </w:rPr>
        <w:t xml:space="preserve"> 134. The electrical feed for the hoods may come from wall that separates </w:t>
      </w:r>
      <w:proofErr w:type="spellStart"/>
      <w:r>
        <w:rPr>
          <w:b/>
        </w:rPr>
        <w:t>Rm</w:t>
      </w:r>
      <w:proofErr w:type="spellEnd"/>
      <w:r>
        <w:rPr>
          <w:b/>
        </w:rPr>
        <w:t xml:space="preserve"> 137 and </w:t>
      </w:r>
      <w:proofErr w:type="spellStart"/>
      <w:r>
        <w:rPr>
          <w:b/>
        </w:rPr>
        <w:t>Rm</w:t>
      </w:r>
      <w:proofErr w:type="spellEnd"/>
      <w:r>
        <w:rPr>
          <w:b/>
        </w:rPr>
        <w:t xml:space="preserve"> 137B</w:t>
      </w:r>
    </w:p>
    <w:p w:rsidR="00237A46" w:rsidRDefault="00237A46" w:rsidP="0060115E">
      <w:pPr>
        <w:pStyle w:val="ListParagraph"/>
        <w:numPr>
          <w:ilvl w:val="0"/>
          <w:numId w:val="13"/>
        </w:numPr>
        <w:rPr>
          <w:b/>
        </w:rPr>
      </w:pPr>
      <w:r>
        <w:rPr>
          <w:b/>
        </w:rPr>
        <w:t xml:space="preserve">Install 1 1/8” </w:t>
      </w:r>
      <w:proofErr w:type="spellStart"/>
      <w:r>
        <w:rPr>
          <w:b/>
        </w:rPr>
        <w:t>Sturdi</w:t>
      </w:r>
      <w:proofErr w:type="spellEnd"/>
      <w:r>
        <w:rPr>
          <w:b/>
        </w:rPr>
        <w:t xml:space="preserve"> Floor T&amp;G plywood over 2”x4”joists with deck screws being careful not to puncture electrical and plumbing lines. </w:t>
      </w:r>
    </w:p>
    <w:p w:rsidR="00237A46" w:rsidRDefault="00237A46" w:rsidP="0060115E">
      <w:pPr>
        <w:pStyle w:val="ListParagraph"/>
        <w:numPr>
          <w:ilvl w:val="0"/>
          <w:numId w:val="13"/>
        </w:numPr>
        <w:rPr>
          <w:b/>
        </w:rPr>
      </w:pPr>
      <w:r>
        <w:rPr>
          <w:b/>
        </w:rPr>
        <w:t>Repair existing drywall at all places that are scuffed, scratched, etc. Where air and electrical supply were run in wall, where door was re-installed, all places that need patching. Texture to match.</w:t>
      </w:r>
      <w:r w:rsidRPr="0031359C">
        <w:rPr>
          <w:b/>
        </w:rPr>
        <w:t xml:space="preserve"> </w:t>
      </w:r>
      <w:r>
        <w:rPr>
          <w:b/>
        </w:rPr>
        <w:t>This shall be in full compliance with TSTC project manager.</w:t>
      </w:r>
    </w:p>
    <w:p w:rsidR="00237A46" w:rsidRDefault="00237A46" w:rsidP="0060115E">
      <w:pPr>
        <w:pStyle w:val="ListParagraph"/>
        <w:numPr>
          <w:ilvl w:val="0"/>
          <w:numId w:val="13"/>
        </w:numPr>
        <w:rPr>
          <w:b/>
        </w:rPr>
      </w:pPr>
      <w:r>
        <w:rPr>
          <w:b/>
        </w:rPr>
        <w:t xml:space="preserve">Tie in ceiling grid to new walls and re-install ceiling tiles. Install approx. 320 </w:t>
      </w:r>
      <w:proofErr w:type="spellStart"/>
      <w:r>
        <w:rPr>
          <w:b/>
        </w:rPr>
        <w:t>sft</w:t>
      </w:r>
      <w:proofErr w:type="spellEnd"/>
      <w:r>
        <w:rPr>
          <w:b/>
        </w:rPr>
        <w:t xml:space="preserve"> of new ceiling grid. Furnish and install approx. 900 </w:t>
      </w:r>
      <w:proofErr w:type="spellStart"/>
      <w:r>
        <w:rPr>
          <w:b/>
        </w:rPr>
        <w:t>sft</w:t>
      </w:r>
      <w:proofErr w:type="spellEnd"/>
      <w:r>
        <w:rPr>
          <w:b/>
        </w:rPr>
        <w:t xml:space="preserve">. </w:t>
      </w:r>
      <w:proofErr w:type="gramStart"/>
      <w:r>
        <w:rPr>
          <w:b/>
        </w:rPr>
        <w:t>of</w:t>
      </w:r>
      <w:proofErr w:type="gramEnd"/>
      <w:r>
        <w:rPr>
          <w:b/>
        </w:rPr>
        <w:t xml:space="preserve"> new ceiling tile. Re-use ceiling insulation that was taken down during demo.</w:t>
      </w:r>
    </w:p>
    <w:p w:rsidR="00237A46" w:rsidRPr="00270160" w:rsidRDefault="00237A46" w:rsidP="0060115E">
      <w:pPr>
        <w:pStyle w:val="ListParagraph"/>
        <w:numPr>
          <w:ilvl w:val="0"/>
          <w:numId w:val="13"/>
        </w:numPr>
        <w:rPr>
          <w:b/>
        </w:rPr>
      </w:pPr>
      <w:r>
        <w:rPr>
          <w:b/>
        </w:rPr>
        <w:t xml:space="preserve">Paint walls and both doors in </w:t>
      </w:r>
      <w:proofErr w:type="spellStart"/>
      <w:r>
        <w:rPr>
          <w:b/>
        </w:rPr>
        <w:t>Rm</w:t>
      </w:r>
      <w:proofErr w:type="spellEnd"/>
      <w:r>
        <w:rPr>
          <w:b/>
        </w:rPr>
        <w:t xml:space="preserve"> 137 with two coats SW Pro Mar 200 interior latex semi gloss paint. Color shall be determined later.</w:t>
      </w:r>
    </w:p>
    <w:p w:rsidR="00237A46" w:rsidRDefault="00237A46" w:rsidP="0060115E">
      <w:pPr>
        <w:pStyle w:val="ListParagraph"/>
        <w:numPr>
          <w:ilvl w:val="0"/>
          <w:numId w:val="13"/>
        </w:numPr>
        <w:rPr>
          <w:b/>
        </w:rPr>
      </w:pPr>
      <w:r w:rsidRPr="00664395">
        <w:rPr>
          <w:b/>
        </w:rPr>
        <w:t xml:space="preserve">Furnish and install 1 free standing storage cabinet (budget set for cost of cabinet is $300.00, the cost of this will be included </w:t>
      </w:r>
      <w:r>
        <w:rPr>
          <w:b/>
        </w:rPr>
        <w:t xml:space="preserve">in contractor’s  proposal) </w:t>
      </w:r>
    </w:p>
    <w:p w:rsidR="00237A46" w:rsidRPr="00664395" w:rsidRDefault="00237A46" w:rsidP="0060115E">
      <w:pPr>
        <w:pStyle w:val="ListParagraph"/>
        <w:numPr>
          <w:ilvl w:val="0"/>
          <w:numId w:val="13"/>
        </w:numPr>
        <w:rPr>
          <w:b/>
        </w:rPr>
      </w:pPr>
      <w:r w:rsidRPr="00664395">
        <w:rPr>
          <w:b/>
        </w:rPr>
        <w:t>Fabricate and install shelf on work station as per drawing including braces. This shelf is to have laminate top and sides. Color to be determined later. Drill 4 - ¾” holes in shelf riser to accept 4- valves</w:t>
      </w:r>
      <w:r>
        <w:rPr>
          <w:b/>
        </w:rPr>
        <w:t xml:space="preserve"> in 8 stations and 8 valves in 2 stations</w:t>
      </w:r>
      <w:r w:rsidRPr="00664395">
        <w:rPr>
          <w:b/>
        </w:rPr>
        <w:t>. Original valves from lab cabinets shall be installed in these holes. There shall be 2-35lb air va</w:t>
      </w:r>
      <w:r>
        <w:rPr>
          <w:b/>
        </w:rPr>
        <w:t>lves and 2- 100lb air valves in 8</w:t>
      </w:r>
      <w:r w:rsidRPr="00664395">
        <w:rPr>
          <w:b/>
        </w:rPr>
        <w:t xml:space="preserve"> work station</w:t>
      </w:r>
      <w:r>
        <w:rPr>
          <w:b/>
        </w:rPr>
        <w:t xml:space="preserve">s and </w:t>
      </w:r>
      <w:r w:rsidRPr="00664395">
        <w:rPr>
          <w:b/>
        </w:rPr>
        <w:t>2-35lb air va</w:t>
      </w:r>
      <w:r>
        <w:rPr>
          <w:b/>
        </w:rPr>
        <w:t>lves, 2- 100lb air valves, 2 carrier valves, and 2 vents in 2 work stations</w:t>
      </w:r>
      <w:r w:rsidRPr="00664395">
        <w:rPr>
          <w:b/>
        </w:rPr>
        <w:t>. The vent valve</w:t>
      </w:r>
      <w:r>
        <w:rPr>
          <w:b/>
        </w:rPr>
        <w:t xml:space="preserve"> tubing</w:t>
      </w:r>
      <w:r w:rsidRPr="00664395">
        <w:rPr>
          <w:b/>
        </w:rPr>
        <w:t xml:space="preserve"> shall be attached to existing </w:t>
      </w:r>
      <w:r>
        <w:rPr>
          <w:b/>
        </w:rPr>
        <w:t>vent above ceiling.</w:t>
      </w:r>
    </w:p>
    <w:p w:rsidR="00237A46" w:rsidRDefault="00237A46" w:rsidP="0060115E">
      <w:pPr>
        <w:pStyle w:val="ListParagraph"/>
        <w:numPr>
          <w:ilvl w:val="0"/>
          <w:numId w:val="13"/>
        </w:numPr>
        <w:rPr>
          <w:b/>
        </w:rPr>
      </w:pPr>
      <w:r>
        <w:rPr>
          <w:b/>
        </w:rPr>
        <w:t>Prep floor deck and install 12” VCT floor tiles. Color to be determined later.</w:t>
      </w:r>
    </w:p>
    <w:p w:rsidR="00237A46" w:rsidRPr="0085650B" w:rsidRDefault="00237A46" w:rsidP="0060115E">
      <w:pPr>
        <w:pStyle w:val="ListParagraph"/>
        <w:numPr>
          <w:ilvl w:val="0"/>
          <w:numId w:val="13"/>
        </w:numPr>
        <w:rPr>
          <w:b/>
        </w:rPr>
      </w:pPr>
      <w:r>
        <w:rPr>
          <w:b/>
        </w:rPr>
        <w:t>Furnish and install 4” vinyl cove base. Color determined later</w:t>
      </w:r>
    </w:p>
    <w:p w:rsidR="00237A46" w:rsidRDefault="00237A46" w:rsidP="0060115E">
      <w:pPr>
        <w:pStyle w:val="ListParagraph"/>
        <w:numPr>
          <w:ilvl w:val="0"/>
          <w:numId w:val="13"/>
        </w:numPr>
        <w:rPr>
          <w:b/>
        </w:rPr>
      </w:pPr>
      <w:r>
        <w:rPr>
          <w:b/>
        </w:rPr>
        <w:t>Install work stations. The work station table is furnished by TSTC. The contractor shall assemble the table. The laminated plumbing chase, laminated shelf and face, shelf braces and anchors for braces shall be furnished and installed on work station table by contractor. (See drawing)  This will include plumbing and anchoring valves into work stations. The removed valves are to be re-installed in new work stations as per drawing.  Station shall be anchored to floor with metal angle anchors secured to floor and the outside legs of station.</w:t>
      </w:r>
    </w:p>
    <w:p w:rsidR="00237A46" w:rsidRPr="0060115E" w:rsidRDefault="00237A46" w:rsidP="0060115E">
      <w:pPr>
        <w:pStyle w:val="ListParagraph"/>
        <w:numPr>
          <w:ilvl w:val="0"/>
          <w:numId w:val="13"/>
        </w:numPr>
        <w:rPr>
          <w:b/>
        </w:rPr>
      </w:pPr>
      <w:r>
        <w:rPr>
          <w:b/>
        </w:rPr>
        <w:t>Fabricate and install ¾”MDF laminated chase for plumbing that will extend from floor to work station height. Chase shall be fully enclosed</w:t>
      </w:r>
    </w:p>
    <w:p w:rsidR="00237A46" w:rsidRDefault="00237A46" w:rsidP="00237A46">
      <w:pPr>
        <w:rPr>
          <w:b/>
        </w:rPr>
      </w:pPr>
      <w:r>
        <w:rPr>
          <w:b/>
        </w:rPr>
        <w:t>Electrical:</w:t>
      </w:r>
    </w:p>
    <w:p w:rsidR="00237A46" w:rsidRPr="004A54BA" w:rsidRDefault="00237A46" w:rsidP="0060115E">
      <w:pPr>
        <w:pStyle w:val="ListParagraph"/>
        <w:numPr>
          <w:ilvl w:val="0"/>
          <w:numId w:val="14"/>
        </w:numPr>
        <w:rPr>
          <w:b/>
        </w:rPr>
      </w:pPr>
      <w:r>
        <w:rPr>
          <w:b/>
        </w:rPr>
        <w:t>Install new 200 amp electrical panel with main on wall next to entrance to room. Minimum twenty four- 20 amp circuit breakers. Wiring in walls and under floor may be MC or alternate may be accepted by TSTC project manager. Contractor is permitted to install large junction box above ceiling in location of removed service panel. Contractor shall furnish and install new service from this junction box to new service panel. All new electrical leads for outlets in room to come from new service panel.</w:t>
      </w:r>
    </w:p>
    <w:p w:rsidR="0060115E" w:rsidRDefault="0060115E" w:rsidP="0060115E">
      <w:pPr>
        <w:pStyle w:val="ListParagraph"/>
        <w:rPr>
          <w:b/>
        </w:rPr>
      </w:pPr>
    </w:p>
    <w:p w:rsidR="0060115E" w:rsidRPr="0060115E" w:rsidRDefault="0060115E" w:rsidP="0060115E">
      <w:pPr>
        <w:pStyle w:val="ListParagraph"/>
        <w:rPr>
          <w:b/>
        </w:rPr>
      </w:pPr>
    </w:p>
    <w:p w:rsidR="00237A46" w:rsidRDefault="00237A46" w:rsidP="0060115E">
      <w:pPr>
        <w:pStyle w:val="ListParagraph"/>
        <w:numPr>
          <w:ilvl w:val="0"/>
          <w:numId w:val="14"/>
        </w:numPr>
        <w:rPr>
          <w:b/>
        </w:rPr>
      </w:pPr>
      <w:r>
        <w:rPr>
          <w:b/>
        </w:rPr>
        <w:t>Install 2- 2’x4’- 4 bulb drop in florescent lights where laser room was located (</w:t>
      </w:r>
      <w:proofErr w:type="spellStart"/>
      <w:r>
        <w:rPr>
          <w:b/>
        </w:rPr>
        <w:t>Rm</w:t>
      </w:r>
      <w:proofErr w:type="spellEnd"/>
      <w:r>
        <w:rPr>
          <w:b/>
        </w:rPr>
        <w:t xml:space="preserve"> 136).</w:t>
      </w:r>
    </w:p>
    <w:p w:rsidR="00237A46" w:rsidRDefault="00237A46" w:rsidP="0060115E">
      <w:pPr>
        <w:pStyle w:val="ListParagraph"/>
        <w:numPr>
          <w:ilvl w:val="0"/>
          <w:numId w:val="14"/>
        </w:numPr>
        <w:rPr>
          <w:b/>
        </w:rPr>
      </w:pPr>
      <w:r>
        <w:rPr>
          <w:b/>
        </w:rPr>
        <w:t xml:space="preserve">Re-wire light switch at entry so it will control all the lights in </w:t>
      </w:r>
      <w:proofErr w:type="spellStart"/>
      <w:r>
        <w:rPr>
          <w:b/>
        </w:rPr>
        <w:t>Rm</w:t>
      </w:r>
      <w:proofErr w:type="spellEnd"/>
      <w:r>
        <w:rPr>
          <w:b/>
        </w:rPr>
        <w:t xml:space="preserve"> 137.</w:t>
      </w:r>
    </w:p>
    <w:p w:rsidR="00237A46" w:rsidRDefault="00237A46" w:rsidP="0060115E">
      <w:pPr>
        <w:pStyle w:val="ListParagraph"/>
        <w:numPr>
          <w:ilvl w:val="0"/>
          <w:numId w:val="14"/>
        </w:numPr>
        <w:rPr>
          <w:b/>
        </w:rPr>
      </w:pPr>
      <w:r>
        <w:rPr>
          <w:b/>
        </w:rPr>
        <w:t>Install 2 electrical quads approx. 10 feet apart at instructor’s wall.</w:t>
      </w:r>
    </w:p>
    <w:p w:rsidR="00237A46" w:rsidRDefault="00237A46" w:rsidP="0060115E">
      <w:pPr>
        <w:pStyle w:val="ListParagraph"/>
        <w:numPr>
          <w:ilvl w:val="0"/>
          <w:numId w:val="14"/>
        </w:numPr>
        <w:rPr>
          <w:b/>
        </w:rPr>
      </w:pPr>
      <w:r>
        <w:rPr>
          <w:b/>
        </w:rPr>
        <w:t xml:space="preserve">Install GFI outlet above sink cabinet. </w:t>
      </w:r>
    </w:p>
    <w:p w:rsidR="00237A46" w:rsidRDefault="00237A46" w:rsidP="0060115E">
      <w:pPr>
        <w:pStyle w:val="ListParagraph"/>
        <w:numPr>
          <w:ilvl w:val="0"/>
          <w:numId w:val="14"/>
        </w:numPr>
        <w:rPr>
          <w:b/>
        </w:rPr>
      </w:pPr>
      <w:r>
        <w:rPr>
          <w:b/>
        </w:rPr>
        <w:t>Install 1 electrical duplex with metal boxes on each of the front outside legs of the work stations. Install a 20 amp circuit for each work station. Install EMT for protection of wiring from floor to metal duplex box. Furnish and attach one power surge protector per work station (total of 20). These surge protectors shall be mounted on front side of shelf attached to work station.</w:t>
      </w:r>
    </w:p>
    <w:p w:rsidR="00237A46" w:rsidRDefault="00237A46" w:rsidP="0060115E">
      <w:pPr>
        <w:pStyle w:val="ListParagraph"/>
        <w:numPr>
          <w:ilvl w:val="0"/>
          <w:numId w:val="14"/>
        </w:numPr>
        <w:rPr>
          <w:b/>
        </w:rPr>
      </w:pPr>
      <w:r>
        <w:rPr>
          <w:b/>
        </w:rPr>
        <w:t xml:space="preserve">The air and electrical supply for the work stations are to be fed inside of wall that separates </w:t>
      </w:r>
      <w:proofErr w:type="spellStart"/>
      <w:r>
        <w:rPr>
          <w:b/>
        </w:rPr>
        <w:t>Rm</w:t>
      </w:r>
      <w:proofErr w:type="spellEnd"/>
      <w:r>
        <w:rPr>
          <w:b/>
        </w:rPr>
        <w:t xml:space="preserve"> 137 &amp; </w:t>
      </w:r>
      <w:proofErr w:type="spellStart"/>
      <w:r>
        <w:rPr>
          <w:b/>
        </w:rPr>
        <w:t>Rm</w:t>
      </w:r>
      <w:proofErr w:type="spellEnd"/>
      <w:r>
        <w:rPr>
          <w:b/>
        </w:rPr>
        <w:t xml:space="preserve"> 134. Alternate routes may be used if approved by TSTC project manager.</w:t>
      </w:r>
    </w:p>
    <w:p w:rsidR="00237A46" w:rsidRPr="00285124" w:rsidRDefault="00237A46" w:rsidP="0060115E">
      <w:pPr>
        <w:pStyle w:val="ListParagraph"/>
        <w:numPr>
          <w:ilvl w:val="0"/>
          <w:numId w:val="14"/>
        </w:numPr>
        <w:rPr>
          <w:b/>
        </w:rPr>
      </w:pPr>
      <w:r>
        <w:rPr>
          <w:b/>
        </w:rPr>
        <w:t>Trim out electrical.</w:t>
      </w:r>
    </w:p>
    <w:p w:rsidR="0060115E" w:rsidRDefault="0060115E" w:rsidP="00237A46">
      <w:pPr>
        <w:ind w:left="360"/>
        <w:rPr>
          <w:b/>
        </w:rPr>
      </w:pPr>
    </w:p>
    <w:p w:rsidR="0060115E" w:rsidRDefault="0060115E" w:rsidP="00237A46">
      <w:pPr>
        <w:ind w:left="360"/>
        <w:rPr>
          <w:b/>
        </w:rPr>
      </w:pPr>
    </w:p>
    <w:p w:rsidR="00237A46" w:rsidRDefault="00237A46" w:rsidP="00237A46">
      <w:pPr>
        <w:ind w:left="360"/>
        <w:rPr>
          <w:b/>
        </w:rPr>
      </w:pPr>
      <w:r>
        <w:rPr>
          <w:b/>
        </w:rPr>
        <w:t>Plumbing:</w:t>
      </w:r>
    </w:p>
    <w:p w:rsidR="007455D7" w:rsidRDefault="007455D7" w:rsidP="00237A46">
      <w:pPr>
        <w:ind w:left="360"/>
        <w:rPr>
          <w:b/>
        </w:rPr>
      </w:pPr>
    </w:p>
    <w:p w:rsidR="00237A46" w:rsidRDefault="00237A46" w:rsidP="00237A46">
      <w:pPr>
        <w:ind w:left="360"/>
        <w:rPr>
          <w:b/>
        </w:rPr>
      </w:pPr>
      <w:r>
        <w:rPr>
          <w:b/>
        </w:rPr>
        <w:t>NOTE: All copper plumbing under floor shall be silver brazed together at all joints</w:t>
      </w:r>
      <w:proofErr w:type="gramStart"/>
      <w:r>
        <w:rPr>
          <w:b/>
        </w:rPr>
        <w:t>..</w:t>
      </w:r>
      <w:proofErr w:type="gramEnd"/>
      <w:r>
        <w:rPr>
          <w:b/>
        </w:rPr>
        <w:t xml:space="preserve"> Connections to vent, helium tubing, all joints and connections shall be silver brazed. New tubing may be connected to existing tubing with brass connectors. Pressure testing shall be required on all tubing and valves. TSTC plumbing supervisor shall inspect this procedure. No tubing shall be exposed inside of room 137 after walls and ceiling is finished.</w:t>
      </w:r>
    </w:p>
    <w:p w:rsidR="00237A46" w:rsidRDefault="00237A46" w:rsidP="00237A46">
      <w:pPr>
        <w:ind w:left="360"/>
        <w:rPr>
          <w:b/>
        </w:rPr>
      </w:pPr>
    </w:p>
    <w:p w:rsidR="00237A46" w:rsidRDefault="00237A46" w:rsidP="0060115E">
      <w:pPr>
        <w:pStyle w:val="ListParagraph"/>
        <w:numPr>
          <w:ilvl w:val="0"/>
          <w:numId w:val="15"/>
        </w:numPr>
        <w:rPr>
          <w:b/>
        </w:rPr>
      </w:pPr>
      <w:r>
        <w:rPr>
          <w:b/>
        </w:rPr>
        <w:t>Two work stations shall have 2-35lb air outlets, 2-100lb air outlets, 2- carrier outlets, 2-vent outlets. Eight work stations shall have 2-35lb air outlets and 2-100lb air outlets. The valves that were removed for demo shall be installed in new work stations.</w:t>
      </w:r>
    </w:p>
    <w:p w:rsidR="00237A46" w:rsidRDefault="00237A46" w:rsidP="0060115E">
      <w:pPr>
        <w:pStyle w:val="ListParagraph"/>
        <w:numPr>
          <w:ilvl w:val="0"/>
          <w:numId w:val="15"/>
        </w:numPr>
        <w:rPr>
          <w:b/>
        </w:rPr>
      </w:pPr>
      <w:r>
        <w:rPr>
          <w:b/>
        </w:rPr>
        <w:t>The air and electrical supply for the work stations is to be fed</w:t>
      </w:r>
      <w:r w:rsidR="006D544E">
        <w:rPr>
          <w:b/>
        </w:rPr>
        <w:t xml:space="preserve"> from</w:t>
      </w:r>
      <w:r>
        <w:rPr>
          <w:b/>
        </w:rPr>
        <w:t xml:space="preserve"> inside of wall that separates </w:t>
      </w:r>
      <w:proofErr w:type="spellStart"/>
      <w:r>
        <w:rPr>
          <w:b/>
        </w:rPr>
        <w:t>Rm</w:t>
      </w:r>
      <w:proofErr w:type="spellEnd"/>
      <w:r>
        <w:rPr>
          <w:b/>
        </w:rPr>
        <w:t xml:space="preserve"> 137 &amp; </w:t>
      </w:r>
      <w:proofErr w:type="spellStart"/>
      <w:r>
        <w:rPr>
          <w:b/>
        </w:rPr>
        <w:t>Rm</w:t>
      </w:r>
      <w:proofErr w:type="spellEnd"/>
      <w:r>
        <w:rPr>
          <w:b/>
        </w:rPr>
        <w:t xml:space="preserve"> 134 unless TSTC project manager approves alternate route from contractor.</w:t>
      </w:r>
    </w:p>
    <w:p w:rsidR="00237A46" w:rsidRDefault="00237A46" w:rsidP="0060115E">
      <w:pPr>
        <w:pStyle w:val="ListParagraph"/>
        <w:numPr>
          <w:ilvl w:val="0"/>
          <w:numId w:val="15"/>
        </w:numPr>
        <w:rPr>
          <w:b/>
        </w:rPr>
      </w:pPr>
      <w:r>
        <w:rPr>
          <w:b/>
        </w:rPr>
        <w:t>Contractor to tie in copper supply tubing into existing copper tubing above suspended ceiling. There are three drops for each set of 35 lb and 100 lb runs in new floor.</w:t>
      </w:r>
    </w:p>
    <w:p w:rsidR="00237A46" w:rsidRPr="001C65BB" w:rsidRDefault="00237A46" w:rsidP="0060115E">
      <w:pPr>
        <w:pStyle w:val="ListParagraph"/>
        <w:numPr>
          <w:ilvl w:val="0"/>
          <w:numId w:val="15"/>
        </w:numPr>
        <w:rPr>
          <w:b/>
        </w:rPr>
      </w:pPr>
      <w:r w:rsidRPr="001C65BB">
        <w:rPr>
          <w:b/>
        </w:rPr>
        <w:t xml:space="preserve">Vent line shall be </w:t>
      </w:r>
      <w:r>
        <w:rPr>
          <w:b/>
        </w:rPr>
        <w:t xml:space="preserve">3/8”copper tubing, run through </w:t>
      </w:r>
      <w:r w:rsidRPr="001C65BB">
        <w:rPr>
          <w:b/>
        </w:rPr>
        <w:t xml:space="preserve">wall and above ceiling to tie into existing line above wall that separates Rm137 and </w:t>
      </w:r>
      <w:proofErr w:type="spellStart"/>
      <w:r w:rsidRPr="001C65BB">
        <w:rPr>
          <w:b/>
        </w:rPr>
        <w:t>Rm</w:t>
      </w:r>
      <w:proofErr w:type="spellEnd"/>
      <w:r w:rsidRPr="001C65BB">
        <w:rPr>
          <w:b/>
        </w:rPr>
        <w:t xml:space="preserve"> 137C. This existing line is fed </w:t>
      </w:r>
      <w:r>
        <w:rPr>
          <w:b/>
        </w:rPr>
        <w:t xml:space="preserve">to the </w:t>
      </w:r>
      <w:r w:rsidRPr="001C65BB">
        <w:rPr>
          <w:b/>
        </w:rPr>
        <w:t>outside of building.</w:t>
      </w:r>
    </w:p>
    <w:p w:rsidR="00237A46" w:rsidRDefault="00237A46" w:rsidP="0060115E">
      <w:pPr>
        <w:pStyle w:val="ListParagraph"/>
        <w:numPr>
          <w:ilvl w:val="0"/>
          <w:numId w:val="15"/>
        </w:numPr>
        <w:rPr>
          <w:b/>
        </w:rPr>
      </w:pPr>
      <w:r>
        <w:rPr>
          <w:b/>
        </w:rPr>
        <w:t xml:space="preserve">Carrier tubing shall be ¼” copper tubing. It shall run through floor and then through wall that separates </w:t>
      </w:r>
      <w:proofErr w:type="spellStart"/>
      <w:r>
        <w:rPr>
          <w:b/>
        </w:rPr>
        <w:t>Rm</w:t>
      </w:r>
      <w:proofErr w:type="spellEnd"/>
      <w:r>
        <w:rPr>
          <w:b/>
        </w:rPr>
        <w:t xml:space="preserve"> 137 and </w:t>
      </w:r>
      <w:proofErr w:type="spellStart"/>
      <w:r>
        <w:rPr>
          <w:b/>
        </w:rPr>
        <w:t>Rm</w:t>
      </w:r>
      <w:proofErr w:type="spellEnd"/>
      <w:r>
        <w:rPr>
          <w:b/>
        </w:rPr>
        <w:t xml:space="preserve"> 137C. It will come down at approx. 5’ off floor and be fitted so that TSTC personnel can make connections from it to gas storage bottles in RM 137C.  </w:t>
      </w:r>
    </w:p>
    <w:p w:rsidR="00237A46" w:rsidRDefault="00237A46" w:rsidP="0060115E">
      <w:pPr>
        <w:pStyle w:val="ListParagraph"/>
        <w:numPr>
          <w:ilvl w:val="0"/>
          <w:numId w:val="15"/>
        </w:numPr>
        <w:rPr>
          <w:b/>
        </w:rPr>
      </w:pPr>
      <w:r>
        <w:rPr>
          <w:b/>
        </w:rPr>
        <w:t xml:space="preserve"> The copper tubing air supply should be a minimum ¾”I.D. It must supply amount of air needed for the 35 lb and 100 lb valves to maintain their allotted pressure during lab use. This air will be connected to existing lines above suspended ceiling in room. These existing supply lines have valves above ceiling in </w:t>
      </w:r>
      <w:proofErr w:type="spellStart"/>
      <w:r>
        <w:rPr>
          <w:b/>
        </w:rPr>
        <w:t>Rm</w:t>
      </w:r>
      <w:proofErr w:type="spellEnd"/>
      <w:r>
        <w:rPr>
          <w:b/>
        </w:rPr>
        <w:t xml:space="preserve"> 137. Contractor shall install new lines to these existing valves.</w:t>
      </w:r>
    </w:p>
    <w:p w:rsidR="0060115E" w:rsidRDefault="0060115E" w:rsidP="0060115E">
      <w:pPr>
        <w:pStyle w:val="ListParagraph"/>
        <w:ind w:left="1080"/>
        <w:rPr>
          <w:b/>
        </w:rPr>
      </w:pPr>
    </w:p>
    <w:p w:rsidR="0060115E" w:rsidRDefault="0060115E" w:rsidP="0060115E">
      <w:pPr>
        <w:pStyle w:val="ListParagraph"/>
        <w:ind w:left="1080"/>
        <w:rPr>
          <w:b/>
        </w:rPr>
      </w:pPr>
    </w:p>
    <w:p w:rsidR="0060115E" w:rsidRDefault="0060115E" w:rsidP="0060115E">
      <w:pPr>
        <w:pStyle w:val="ListParagraph"/>
        <w:ind w:left="1080"/>
        <w:rPr>
          <w:b/>
        </w:rPr>
      </w:pPr>
    </w:p>
    <w:p w:rsidR="0060115E" w:rsidRDefault="0060115E" w:rsidP="0060115E">
      <w:pPr>
        <w:pStyle w:val="ListParagraph"/>
        <w:ind w:left="1080"/>
        <w:rPr>
          <w:b/>
        </w:rPr>
      </w:pPr>
    </w:p>
    <w:p w:rsidR="0060115E" w:rsidRDefault="0060115E" w:rsidP="0060115E">
      <w:pPr>
        <w:pStyle w:val="ListParagraph"/>
        <w:ind w:left="1080"/>
        <w:rPr>
          <w:b/>
        </w:rPr>
      </w:pPr>
    </w:p>
    <w:p w:rsidR="0060115E" w:rsidRDefault="0060115E" w:rsidP="0060115E">
      <w:pPr>
        <w:pStyle w:val="ListParagraph"/>
        <w:ind w:left="1080"/>
        <w:rPr>
          <w:b/>
        </w:rPr>
      </w:pPr>
    </w:p>
    <w:p w:rsidR="0060115E" w:rsidRDefault="0060115E" w:rsidP="0060115E">
      <w:pPr>
        <w:pStyle w:val="ListParagraph"/>
        <w:ind w:left="1080"/>
        <w:rPr>
          <w:b/>
        </w:rPr>
      </w:pPr>
    </w:p>
    <w:p w:rsidR="00237A46" w:rsidRPr="00473C70" w:rsidRDefault="00237A46" w:rsidP="0060115E">
      <w:pPr>
        <w:pStyle w:val="ListParagraph"/>
        <w:numPr>
          <w:ilvl w:val="0"/>
          <w:numId w:val="15"/>
        </w:numPr>
        <w:rPr>
          <w:b/>
        </w:rPr>
      </w:pPr>
      <w:r w:rsidRPr="00473C70">
        <w:rPr>
          <w:b/>
        </w:rPr>
        <w:t>Furnish and install pre-finished 36” sink base cabinet with sink, faucets, stops, traps and fittings where laser dark room was and as per drawing.</w:t>
      </w:r>
      <w:r>
        <w:rPr>
          <w:b/>
        </w:rPr>
        <w:t xml:space="preserve"> Sink to be  </w:t>
      </w:r>
      <w:proofErr w:type="spellStart"/>
      <w:r>
        <w:rPr>
          <w:b/>
        </w:rPr>
        <w:t>Elkay</w:t>
      </w:r>
      <w:proofErr w:type="spellEnd"/>
      <w:r>
        <w:rPr>
          <w:b/>
        </w:rPr>
        <w:t xml:space="preserve"> Stainless Steel single bowl Model # D117213 or equal quality substitution</w:t>
      </w:r>
      <w:r w:rsidRPr="00473C70">
        <w:rPr>
          <w:b/>
        </w:rPr>
        <w:t xml:space="preserve">, </w:t>
      </w:r>
      <w:r>
        <w:rPr>
          <w:b/>
        </w:rPr>
        <w:t xml:space="preserve">faucet to be chrome finish </w:t>
      </w:r>
      <w:r w:rsidRPr="00473C70">
        <w:rPr>
          <w:b/>
        </w:rPr>
        <w:t xml:space="preserve">Delta, </w:t>
      </w:r>
      <w:r>
        <w:rPr>
          <w:b/>
        </w:rPr>
        <w:t>single handle</w:t>
      </w:r>
      <w:r w:rsidRPr="00473C70">
        <w:rPr>
          <w:b/>
        </w:rPr>
        <w:t>, no spray</w:t>
      </w:r>
      <w:r>
        <w:rPr>
          <w:b/>
        </w:rPr>
        <w:t xml:space="preserve"> Model # 100-DST</w:t>
      </w:r>
      <w:r w:rsidRPr="00A35659">
        <w:rPr>
          <w:b/>
        </w:rPr>
        <w:t xml:space="preserve"> </w:t>
      </w:r>
      <w:r>
        <w:rPr>
          <w:b/>
        </w:rPr>
        <w:t xml:space="preserve">or equal quality substitution </w:t>
      </w:r>
      <w:r w:rsidRPr="00473C70">
        <w:rPr>
          <w:b/>
        </w:rPr>
        <w:t xml:space="preserve">. </w:t>
      </w:r>
      <w:r>
        <w:rPr>
          <w:b/>
        </w:rPr>
        <w:t>Any substitution must be approved by TSTC project manager.</w:t>
      </w:r>
      <w:r w:rsidRPr="00473C70">
        <w:rPr>
          <w:b/>
        </w:rPr>
        <w:t xml:space="preserve"> Furnish and install pre-formed laminate countertop for this cabinet</w:t>
      </w:r>
    </w:p>
    <w:p w:rsidR="00237A46" w:rsidRDefault="00237A46" w:rsidP="00237A46">
      <w:pPr>
        <w:pStyle w:val="Style"/>
        <w:shd w:val="clear" w:color="auto" w:fill="FFFFFF"/>
        <w:spacing w:before="278" w:line="240" w:lineRule="exact"/>
        <w:ind w:left="38" w:right="173"/>
        <w:jc w:val="center"/>
        <w:rPr>
          <w:b/>
          <w:color w:val="191413"/>
          <w:w w:val="107"/>
          <w:sz w:val="28"/>
          <w:szCs w:val="20"/>
          <w:shd w:val="clear" w:color="auto" w:fill="FFFFFF"/>
        </w:rPr>
      </w:pPr>
      <w:r>
        <w:rPr>
          <w:b/>
        </w:rPr>
        <w:t>This will include plumbing and anchoring valves into work stations. The removed valves are to be re-installed in new work stations as per drawing</w:t>
      </w:r>
    </w:p>
    <w:p w:rsidR="00237A46" w:rsidRPr="007F5295" w:rsidRDefault="00237A46" w:rsidP="00237A46">
      <w:pPr>
        <w:pStyle w:val="Style"/>
        <w:shd w:val="clear" w:color="auto" w:fill="FFFFFF"/>
        <w:spacing w:before="278" w:line="240" w:lineRule="exact"/>
        <w:ind w:left="38" w:right="173"/>
        <w:jc w:val="center"/>
        <w:rPr>
          <w:b/>
          <w:color w:val="191413"/>
          <w:w w:val="107"/>
          <w:sz w:val="28"/>
          <w:szCs w:val="20"/>
          <w:shd w:val="clear" w:color="auto" w:fill="FFFFFF"/>
        </w:rPr>
      </w:pPr>
    </w:p>
    <w:p w:rsidR="00237A46" w:rsidRDefault="00237A46" w:rsidP="00237A46">
      <w:pPr>
        <w:rPr>
          <w:color w:val="191413"/>
          <w:shd w:val="clear" w:color="auto" w:fill="FFFFFF"/>
        </w:rPr>
      </w:pPr>
    </w:p>
    <w:p w:rsidR="00237A46" w:rsidRDefault="00237A46" w:rsidP="00237A46">
      <w:pPr>
        <w:rPr>
          <w:color w:val="191413"/>
          <w:shd w:val="clear" w:color="auto" w:fill="FFFFFF"/>
        </w:rPr>
      </w:pPr>
    </w:p>
    <w:p w:rsidR="00237A46" w:rsidRDefault="00237A46" w:rsidP="00237A46">
      <w:pPr>
        <w:rPr>
          <w:color w:val="191413"/>
          <w:shd w:val="clear" w:color="auto" w:fill="FFFFFF"/>
        </w:rPr>
      </w:pPr>
    </w:p>
    <w:p w:rsidR="00237A46" w:rsidRDefault="00237A46" w:rsidP="00237A46">
      <w:pPr>
        <w:rPr>
          <w:b/>
          <w:sz w:val="24"/>
          <w:szCs w:val="24"/>
        </w:rPr>
      </w:pPr>
      <w:r w:rsidRPr="00000A48">
        <w:rPr>
          <w:b/>
          <w:sz w:val="24"/>
          <w:szCs w:val="24"/>
        </w:rPr>
        <w:t>General Notes:</w:t>
      </w:r>
    </w:p>
    <w:p w:rsidR="00237A46" w:rsidRDefault="00237A46" w:rsidP="00237A46">
      <w:pPr>
        <w:rPr>
          <w:b/>
          <w:sz w:val="24"/>
          <w:szCs w:val="24"/>
        </w:rPr>
      </w:pPr>
    </w:p>
    <w:p w:rsidR="00237A46" w:rsidRPr="00935ED3" w:rsidRDefault="00237A46" w:rsidP="0060115E">
      <w:pPr>
        <w:pStyle w:val="ListParagraph"/>
        <w:numPr>
          <w:ilvl w:val="0"/>
          <w:numId w:val="11"/>
        </w:numPr>
        <w:rPr>
          <w:b/>
          <w:sz w:val="24"/>
          <w:szCs w:val="24"/>
        </w:rPr>
      </w:pPr>
      <w:r w:rsidRPr="00935ED3">
        <w:rPr>
          <w:b/>
          <w:sz w:val="24"/>
          <w:szCs w:val="24"/>
        </w:rPr>
        <w:t xml:space="preserve">Project Completion Date: </w:t>
      </w:r>
      <w:r w:rsidR="006D544E" w:rsidRPr="006D544E">
        <w:rPr>
          <w:b/>
          <w:sz w:val="24"/>
          <w:szCs w:val="24"/>
        </w:rPr>
        <w:t>as</w:t>
      </w:r>
      <w:r w:rsidRPr="00935ED3">
        <w:rPr>
          <w:b/>
          <w:sz w:val="24"/>
          <w:szCs w:val="24"/>
        </w:rPr>
        <w:t xml:space="preserve"> </w:t>
      </w:r>
      <w:r>
        <w:rPr>
          <w:b/>
          <w:sz w:val="24"/>
          <w:szCs w:val="24"/>
        </w:rPr>
        <w:t>set forth in section 3.9 of this RFP</w:t>
      </w:r>
    </w:p>
    <w:p w:rsidR="00237A46" w:rsidRPr="00CC149A" w:rsidRDefault="006D544E" w:rsidP="0060115E">
      <w:pPr>
        <w:pStyle w:val="ListParagraph"/>
        <w:numPr>
          <w:ilvl w:val="0"/>
          <w:numId w:val="11"/>
        </w:numPr>
        <w:rPr>
          <w:sz w:val="24"/>
          <w:szCs w:val="24"/>
        </w:rPr>
      </w:pPr>
      <w:r>
        <w:rPr>
          <w:sz w:val="24"/>
          <w:szCs w:val="24"/>
        </w:rPr>
        <w:t>Contractor shall install and maintain plastic (6 mill.) dust barriers.</w:t>
      </w:r>
    </w:p>
    <w:p w:rsidR="00237A46" w:rsidRPr="00000A48" w:rsidRDefault="00237A46" w:rsidP="0060115E">
      <w:pPr>
        <w:pStyle w:val="ListParagraph"/>
        <w:numPr>
          <w:ilvl w:val="0"/>
          <w:numId w:val="11"/>
        </w:numPr>
        <w:rPr>
          <w:sz w:val="24"/>
          <w:szCs w:val="24"/>
        </w:rPr>
      </w:pPr>
      <w:r w:rsidRPr="00000A48">
        <w:rPr>
          <w:sz w:val="24"/>
          <w:szCs w:val="24"/>
        </w:rPr>
        <w:t xml:space="preserve">Contractor </w:t>
      </w:r>
      <w:r>
        <w:rPr>
          <w:sz w:val="24"/>
          <w:szCs w:val="24"/>
        </w:rPr>
        <w:t>shall clean trash, debris, and sweep work area daily.</w:t>
      </w:r>
    </w:p>
    <w:p w:rsidR="00237A46" w:rsidRDefault="00237A46" w:rsidP="0060115E">
      <w:pPr>
        <w:pStyle w:val="ListParagraph"/>
        <w:numPr>
          <w:ilvl w:val="0"/>
          <w:numId w:val="11"/>
        </w:numPr>
        <w:rPr>
          <w:sz w:val="24"/>
          <w:szCs w:val="24"/>
        </w:rPr>
      </w:pPr>
      <w:r>
        <w:rPr>
          <w:sz w:val="24"/>
          <w:szCs w:val="24"/>
        </w:rPr>
        <w:t>Contractor shall maintain a traffic barricade</w:t>
      </w:r>
      <w:r w:rsidR="006D544E">
        <w:rPr>
          <w:sz w:val="24"/>
          <w:szCs w:val="24"/>
        </w:rPr>
        <w:t xml:space="preserve"> of caution tape installed approx. 42” above finished floor. </w:t>
      </w:r>
    </w:p>
    <w:p w:rsidR="00237A46" w:rsidRDefault="00237A46" w:rsidP="0060115E">
      <w:pPr>
        <w:pStyle w:val="ListParagraph"/>
        <w:numPr>
          <w:ilvl w:val="0"/>
          <w:numId w:val="11"/>
        </w:numPr>
        <w:rPr>
          <w:sz w:val="24"/>
          <w:szCs w:val="24"/>
        </w:rPr>
      </w:pPr>
      <w:r>
        <w:rPr>
          <w:sz w:val="24"/>
          <w:szCs w:val="24"/>
        </w:rPr>
        <w:t xml:space="preserve">No radios, MP3s, etc. </w:t>
      </w:r>
    </w:p>
    <w:p w:rsidR="00237A46" w:rsidRDefault="00237A46" w:rsidP="0060115E">
      <w:pPr>
        <w:pStyle w:val="ListParagraph"/>
        <w:numPr>
          <w:ilvl w:val="0"/>
          <w:numId w:val="11"/>
        </w:numPr>
        <w:rPr>
          <w:sz w:val="24"/>
          <w:szCs w:val="24"/>
        </w:rPr>
      </w:pPr>
      <w:r>
        <w:rPr>
          <w:sz w:val="24"/>
          <w:szCs w:val="24"/>
        </w:rPr>
        <w:t>Proper work attire will be maintained by contractor’s employees and sub-contractors.</w:t>
      </w:r>
    </w:p>
    <w:p w:rsidR="00237A46" w:rsidRPr="00000A48" w:rsidRDefault="00237A46" w:rsidP="0060115E">
      <w:pPr>
        <w:pStyle w:val="ListParagraph"/>
        <w:numPr>
          <w:ilvl w:val="0"/>
          <w:numId w:val="11"/>
        </w:numPr>
        <w:rPr>
          <w:sz w:val="24"/>
          <w:szCs w:val="24"/>
        </w:rPr>
      </w:pPr>
      <w:r>
        <w:rPr>
          <w:sz w:val="24"/>
          <w:szCs w:val="24"/>
        </w:rPr>
        <w:t xml:space="preserve">If at any time there is a discrepancy with these notes then TSTC project manager will make final decision. </w:t>
      </w:r>
    </w:p>
    <w:p w:rsidR="007D616C" w:rsidRPr="005C7335" w:rsidRDefault="007D616C">
      <w:pPr>
        <w:rPr>
          <w:rFonts w:ascii="Arial" w:hAnsi="Arial" w:cs="Arial"/>
          <w:b/>
          <w:color w:val="000000"/>
          <w:sz w:val="24"/>
          <w:szCs w:val="24"/>
        </w:rPr>
      </w:pPr>
    </w:p>
    <w:sectPr w:rsidR="007D616C" w:rsidRPr="005C7335" w:rsidSect="00F05852">
      <w:headerReference w:type="default" r:id="rId20"/>
      <w:footerReference w:type="default" r:id="rId21"/>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09" w:rsidRDefault="000F6609">
      <w:r>
        <w:separator/>
      </w:r>
    </w:p>
  </w:endnote>
  <w:endnote w:type="continuationSeparator" w:id="0">
    <w:p w:rsidR="000F6609" w:rsidRDefault="000F6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92" w:rsidRDefault="00944C58">
    <w:pPr>
      <w:pStyle w:val="Footer"/>
      <w:jc w:val="center"/>
    </w:pPr>
    <w:fldSimple w:instr=" PAGE   \* MERGEFORMAT ">
      <w:r w:rsidR="00705F35">
        <w:rPr>
          <w:noProof/>
        </w:rPr>
        <w:t>1</w:t>
      </w:r>
    </w:fldSimple>
  </w:p>
  <w:p w:rsidR="00AE1992" w:rsidRDefault="00AE1992">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09" w:rsidRDefault="000F6609">
      <w:r>
        <w:separator/>
      </w:r>
    </w:p>
  </w:footnote>
  <w:footnote w:type="continuationSeparator" w:id="0">
    <w:p w:rsidR="000F6609" w:rsidRDefault="000F6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92" w:rsidRPr="002C4481" w:rsidRDefault="00AE1992" w:rsidP="007F5374">
    <w:pPr>
      <w:pStyle w:val="Header"/>
      <w:tabs>
        <w:tab w:val="clear" w:pos="4320"/>
      </w:tabs>
      <w:jc w:val="center"/>
      <w:rPr>
        <w:sz w:val="28"/>
        <w:szCs w:val="28"/>
      </w:rPr>
    </w:pPr>
    <w:r>
      <w:rPr>
        <w:sz w:val="28"/>
        <w:szCs w:val="28"/>
      </w:rPr>
      <w:t>Electronics Center Room 137 Renovation</w:t>
    </w:r>
  </w:p>
  <w:p w:rsidR="00AE1992" w:rsidRPr="007F5374" w:rsidRDefault="00AE1992" w:rsidP="007F5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13"/>
  </w:num>
  <w:num w:numId="4">
    <w:abstractNumId w:val="11"/>
  </w:num>
  <w:num w:numId="5">
    <w:abstractNumId w:val="1"/>
  </w:num>
  <w:num w:numId="6">
    <w:abstractNumId w:val="4"/>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2C9"/>
    <w:rsid w:val="00000A48"/>
    <w:rsid w:val="00000E8E"/>
    <w:rsid w:val="00004C17"/>
    <w:rsid w:val="00010FFA"/>
    <w:rsid w:val="00013741"/>
    <w:rsid w:val="00020193"/>
    <w:rsid w:val="00025C3B"/>
    <w:rsid w:val="00026706"/>
    <w:rsid w:val="00027C7C"/>
    <w:rsid w:val="0003196E"/>
    <w:rsid w:val="00034A6C"/>
    <w:rsid w:val="00037606"/>
    <w:rsid w:val="00043705"/>
    <w:rsid w:val="000449F3"/>
    <w:rsid w:val="00050065"/>
    <w:rsid w:val="0005135D"/>
    <w:rsid w:val="00052C55"/>
    <w:rsid w:val="000576AB"/>
    <w:rsid w:val="00064A14"/>
    <w:rsid w:val="000656DB"/>
    <w:rsid w:val="000662E9"/>
    <w:rsid w:val="00074E51"/>
    <w:rsid w:val="00081FF1"/>
    <w:rsid w:val="00097B33"/>
    <w:rsid w:val="000A1C3A"/>
    <w:rsid w:val="000A2497"/>
    <w:rsid w:val="000A2EFF"/>
    <w:rsid w:val="000A431C"/>
    <w:rsid w:val="000B09C1"/>
    <w:rsid w:val="000B0C87"/>
    <w:rsid w:val="000C3ADA"/>
    <w:rsid w:val="000D27CB"/>
    <w:rsid w:val="000D6E92"/>
    <w:rsid w:val="000F5764"/>
    <w:rsid w:val="000F6609"/>
    <w:rsid w:val="00104AA1"/>
    <w:rsid w:val="00105A6E"/>
    <w:rsid w:val="00105B50"/>
    <w:rsid w:val="00120375"/>
    <w:rsid w:val="00122518"/>
    <w:rsid w:val="00131082"/>
    <w:rsid w:val="00133EB0"/>
    <w:rsid w:val="00141D52"/>
    <w:rsid w:val="00144C57"/>
    <w:rsid w:val="0015018F"/>
    <w:rsid w:val="00150C72"/>
    <w:rsid w:val="00154F53"/>
    <w:rsid w:val="00155DC0"/>
    <w:rsid w:val="00156806"/>
    <w:rsid w:val="00157D4F"/>
    <w:rsid w:val="0016726C"/>
    <w:rsid w:val="00196848"/>
    <w:rsid w:val="001A01EA"/>
    <w:rsid w:val="001B27B5"/>
    <w:rsid w:val="001B7B99"/>
    <w:rsid w:val="001D6EAF"/>
    <w:rsid w:val="001E4A2E"/>
    <w:rsid w:val="001F23B5"/>
    <w:rsid w:val="001F3682"/>
    <w:rsid w:val="001F5B29"/>
    <w:rsid w:val="002004DF"/>
    <w:rsid w:val="0020204A"/>
    <w:rsid w:val="0020284D"/>
    <w:rsid w:val="002033AE"/>
    <w:rsid w:val="00205DB4"/>
    <w:rsid w:val="00205F11"/>
    <w:rsid w:val="0021051C"/>
    <w:rsid w:val="00211A3B"/>
    <w:rsid w:val="002335F9"/>
    <w:rsid w:val="00237A46"/>
    <w:rsid w:val="002477ED"/>
    <w:rsid w:val="00253D0F"/>
    <w:rsid w:val="00255DD6"/>
    <w:rsid w:val="00267155"/>
    <w:rsid w:val="002672ED"/>
    <w:rsid w:val="00276118"/>
    <w:rsid w:val="0028632C"/>
    <w:rsid w:val="00290A21"/>
    <w:rsid w:val="00291D38"/>
    <w:rsid w:val="0029717F"/>
    <w:rsid w:val="002B75C8"/>
    <w:rsid w:val="002C4481"/>
    <w:rsid w:val="002C4762"/>
    <w:rsid w:val="002C5FF8"/>
    <w:rsid w:val="002D0C9A"/>
    <w:rsid w:val="002D1D52"/>
    <w:rsid w:val="002D61C9"/>
    <w:rsid w:val="002E63F4"/>
    <w:rsid w:val="002F0CBE"/>
    <w:rsid w:val="002F6690"/>
    <w:rsid w:val="0030208E"/>
    <w:rsid w:val="00305140"/>
    <w:rsid w:val="003063BE"/>
    <w:rsid w:val="00306A8E"/>
    <w:rsid w:val="00307F63"/>
    <w:rsid w:val="003218B0"/>
    <w:rsid w:val="0032758F"/>
    <w:rsid w:val="00327B71"/>
    <w:rsid w:val="00350AC5"/>
    <w:rsid w:val="0035640D"/>
    <w:rsid w:val="0035681C"/>
    <w:rsid w:val="0035730A"/>
    <w:rsid w:val="00360DA4"/>
    <w:rsid w:val="00362961"/>
    <w:rsid w:val="003646C0"/>
    <w:rsid w:val="00367C71"/>
    <w:rsid w:val="003702E2"/>
    <w:rsid w:val="00392504"/>
    <w:rsid w:val="003A2D4C"/>
    <w:rsid w:val="003C16D0"/>
    <w:rsid w:val="003C7D2D"/>
    <w:rsid w:val="003D3CD4"/>
    <w:rsid w:val="003D3E51"/>
    <w:rsid w:val="003E093E"/>
    <w:rsid w:val="003E50ED"/>
    <w:rsid w:val="003F2030"/>
    <w:rsid w:val="00407354"/>
    <w:rsid w:val="00412771"/>
    <w:rsid w:val="00420414"/>
    <w:rsid w:val="00422E89"/>
    <w:rsid w:val="00426E32"/>
    <w:rsid w:val="0044075D"/>
    <w:rsid w:val="00442A39"/>
    <w:rsid w:val="00442E66"/>
    <w:rsid w:val="00453C6B"/>
    <w:rsid w:val="00453DDC"/>
    <w:rsid w:val="00461163"/>
    <w:rsid w:val="00462010"/>
    <w:rsid w:val="004627C6"/>
    <w:rsid w:val="00474F4F"/>
    <w:rsid w:val="00475AFC"/>
    <w:rsid w:val="004851AC"/>
    <w:rsid w:val="00497316"/>
    <w:rsid w:val="004A3215"/>
    <w:rsid w:val="004A60E5"/>
    <w:rsid w:val="004B5F69"/>
    <w:rsid w:val="004B73DB"/>
    <w:rsid w:val="004D1512"/>
    <w:rsid w:val="004E0345"/>
    <w:rsid w:val="004E3D85"/>
    <w:rsid w:val="004E5449"/>
    <w:rsid w:val="005047C8"/>
    <w:rsid w:val="00517955"/>
    <w:rsid w:val="00521EBC"/>
    <w:rsid w:val="00522A01"/>
    <w:rsid w:val="00524504"/>
    <w:rsid w:val="0052523F"/>
    <w:rsid w:val="00526592"/>
    <w:rsid w:val="005278A5"/>
    <w:rsid w:val="00531A0C"/>
    <w:rsid w:val="00537018"/>
    <w:rsid w:val="00544A2C"/>
    <w:rsid w:val="00544BA7"/>
    <w:rsid w:val="00544FDE"/>
    <w:rsid w:val="005465F0"/>
    <w:rsid w:val="00555AB4"/>
    <w:rsid w:val="00561B88"/>
    <w:rsid w:val="005636E0"/>
    <w:rsid w:val="00563BAF"/>
    <w:rsid w:val="005668C2"/>
    <w:rsid w:val="00566A37"/>
    <w:rsid w:val="005847E9"/>
    <w:rsid w:val="005B355E"/>
    <w:rsid w:val="005C0833"/>
    <w:rsid w:val="005C2758"/>
    <w:rsid w:val="005C7335"/>
    <w:rsid w:val="005D7601"/>
    <w:rsid w:val="005F257C"/>
    <w:rsid w:val="0060115E"/>
    <w:rsid w:val="00602EA7"/>
    <w:rsid w:val="00614B36"/>
    <w:rsid w:val="00617E44"/>
    <w:rsid w:val="00623B1B"/>
    <w:rsid w:val="00637DE6"/>
    <w:rsid w:val="00642AF0"/>
    <w:rsid w:val="006473AB"/>
    <w:rsid w:val="006473F9"/>
    <w:rsid w:val="00650705"/>
    <w:rsid w:val="00651414"/>
    <w:rsid w:val="006518C1"/>
    <w:rsid w:val="006579A4"/>
    <w:rsid w:val="00663959"/>
    <w:rsid w:val="00664964"/>
    <w:rsid w:val="00682CFE"/>
    <w:rsid w:val="006852E4"/>
    <w:rsid w:val="00693E81"/>
    <w:rsid w:val="00695828"/>
    <w:rsid w:val="006C33D5"/>
    <w:rsid w:val="006C4DD0"/>
    <w:rsid w:val="006C5795"/>
    <w:rsid w:val="006C7E33"/>
    <w:rsid w:val="006D2A23"/>
    <w:rsid w:val="006D461E"/>
    <w:rsid w:val="006D544E"/>
    <w:rsid w:val="006D793E"/>
    <w:rsid w:val="006E0910"/>
    <w:rsid w:val="006E18C6"/>
    <w:rsid w:val="006E54BA"/>
    <w:rsid w:val="006E6A65"/>
    <w:rsid w:val="006F1E5F"/>
    <w:rsid w:val="006F76E9"/>
    <w:rsid w:val="006F7D9B"/>
    <w:rsid w:val="00703087"/>
    <w:rsid w:val="00705F35"/>
    <w:rsid w:val="00711F38"/>
    <w:rsid w:val="00713342"/>
    <w:rsid w:val="0071364A"/>
    <w:rsid w:val="007161C0"/>
    <w:rsid w:val="00717513"/>
    <w:rsid w:val="00727735"/>
    <w:rsid w:val="00734377"/>
    <w:rsid w:val="007424C9"/>
    <w:rsid w:val="00744E7F"/>
    <w:rsid w:val="007455D7"/>
    <w:rsid w:val="00755D5D"/>
    <w:rsid w:val="0075793B"/>
    <w:rsid w:val="007601EC"/>
    <w:rsid w:val="00765F38"/>
    <w:rsid w:val="00767251"/>
    <w:rsid w:val="007906FB"/>
    <w:rsid w:val="007975E3"/>
    <w:rsid w:val="007A325B"/>
    <w:rsid w:val="007A38A6"/>
    <w:rsid w:val="007B16C8"/>
    <w:rsid w:val="007C2012"/>
    <w:rsid w:val="007C2242"/>
    <w:rsid w:val="007C6355"/>
    <w:rsid w:val="007D340C"/>
    <w:rsid w:val="007D616C"/>
    <w:rsid w:val="007E326D"/>
    <w:rsid w:val="007E6D72"/>
    <w:rsid w:val="007F19D9"/>
    <w:rsid w:val="007F5295"/>
    <w:rsid w:val="007F5374"/>
    <w:rsid w:val="00802F44"/>
    <w:rsid w:val="0081269D"/>
    <w:rsid w:val="0082394A"/>
    <w:rsid w:val="008329E1"/>
    <w:rsid w:val="008341AE"/>
    <w:rsid w:val="0083677E"/>
    <w:rsid w:val="00851E54"/>
    <w:rsid w:val="00853622"/>
    <w:rsid w:val="00865488"/>
    <w:rsid w:val="00865C4A"/>
    <w:rsid w:val="008715A8"/>
    <w:rsid w:val="0087192B"/>
    <w:rsid w:val="00874F79"/>
    <w:rsid w:val="00880FFA"/>
    <w:rsid w:val="008822A3"/>
    <w:rsid w:val="008925E6"/>
    <w:rsid w:val="00893980"/>
    <w:rsid w:val="008B2C4B"/>
    <w:rsid w:val="008C216E"/>
    <w:rsid w:val="008C6704"/>
    <w:rsid w:val="008D4439"/>
    <w:rsid w:val="008D4579"/>
    <w:rsid w:val="008D4BCB"/>
    <w:rsid w:val="008E1C0B"/>
    <w:rsid w:val="008E2986"/>
    <w:rsid w:val="008E2B00"/>
    <w:rsid w:val="008E44B1"/>
    <w:rsid w:val="008F3787"/>
    <w:rsid w:val="008F592E"/>
    <w:rsid w:val="00904F9A"/>
    <w:rsid w:val="00921065"/>
    <w:rsid w:val="009267FF"/>
    <w:rsid w:val="0093211D"/>
    <w:rsid w:val="009359BB"/>
    <w:rsid w:val="00935ED3"/>
    <w:rsid w:val="009406A1"/>
    <w:rsid w:val="00942A86"/>
    <w:rsid w:val="00943F56"/>
    <w:rsid w:val="00944C58"/>
    <w:rsid w:val="00947261"/>
    <w:rsid w:val="00952B09"/>
    <w:rsid w:val="00953D0F"/>
    <w:rsid w:val="009541B3"/>
    <w:rsid w:val="00954C2A"/>
    <w:rsid w:val="00954F34"/>
    <w:rsid w:val="009713C9"/>
    <w:rsid w:val="00990007"/>
    <w:rsid w:val="00990DB6"/>
    <w:rsid w:val="00993FF4"/>
    <w:rsid w:val="0099491A"/>
    <w:rsid w:val="009A0E71"/>
    <w:rsid w:val="009A2506"/>
    <w:rsid w:val="009B1C62"/>
    <w:rsid w:val="009B5AFB"/>
    <w:rsid w:val="009C600A"/>
    <w:rsid w:val="009D18F1"/>
    <w:rsid w:val="009D277D"/>
    <w:rsid w:val="009D7E63"/>
    <w:rsid w:val="009E0845"/>
    <w:rsid w:val="009E3CDE"/>
    <w:rsid w:val="009F13B4"/>
    <w:rsid w:val="00A0245F"/>
    <w:rsid w:val="00A02D27"/>
    <w:rsid w:val="00A03598"/>
    <w:rsid w:val="00A03B89"/>
    <w:rsid w:val="00A075C2"/>
    <w:rsid w:val="00A17CBC"/>
    <w:rsid w:val="00A22AF1"/>
    <w:rsid w:val="00A24850"/>
    <w:rsid w:val="00A258EF"/>
    <w:rsid w:val="00A3029E"/>
    <w:rsid w:val="00A33F2D"/>
    <w:rsid w:val="00A50A83"/>
    <w:rsid w:val="00A5564B"/>
    <w:rsid w:val="00A5633E"/>
    <w:rsid w:val="00A572C4"/>
    <w:rsid w:val="00A600E7"/>
    <w:rsid w:val="00A66521"/>
    <w:rsid w:val="00A72762"/>
    <w:rsid w:val="00A73513"/>
    <w:rsid w:val="00A90518"/>
    <w:rsid w:val="00A9561D"/>
    <w:rsid w:val="00AA086B"/>
    <w:rsid w:val="00AA14C9"/>
    <w:rsid w:val="00AA3083"/>
    <w:rsid w:val="00AA56C0"/>
    <w:rsid w:val="00AA7391"/>
    <w:rsid w:val="00AC05FD"/>
    <w:rsid w:val="00AE1992"/>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F66"/>
    <w:rsid w:val="00B34954"/>
    <w:rsid w:val="00B40B0C"/>
    <w:rsid w:val="00B4357F"/>
    <w:rsid w:val="00B43720"/>
    <w:rsid w:val="00B46FFB"/>
    <w:rsid w:val="00B57C34"/>
    <w:rsid w:val="00B6796D"/>
    <w:rsid w:val="00B70AB6"/>
    <w:rsid w:val="00B70DAC"/>
    <w:rsid w:val="00B817B7"/>
    <w:rsid w:val="00B862F0"/>
    <w:rsid w:val="00B91BEE"/>
    <w:rsid w:val="00BB4962"/>
    <w:rsid w:val="00BB5985"/>
    <w:rsid w:val="00BB77F1"/>
    <w:rsid w:val="00BC3CC2"/>
    <w:rsid w:val="00BC4A15"/>
    <w:rsid w:val="00BC7E9A"/>
    <w:rsid w:val="00BD1876"/>
    <w:rsid w:val="00BD1EB7"/>
    <w:rsid w:val="00BD4EE1"/>
    <w:rsid w:val="00BD51D9"/>
    <w:rsid w:val="00BD7963"/>
    <w:rsid w:val="00BD7EA0"/>
    <w:rsid w:val="00BE0E0B"/>
    <w:rsid w:val="00BE26AE"/>
    <w:rsid w:val="00BF7D41"/>
    <w:rsid w:val="00C01B82"/>
    <w:rsid w:val="00C05A34"/>
    <w:rsid w:val="00C11AE1"/>
    <w:rsid w:val="00C12458"/>
    <w:rsid w:val="00C153E9"/>
    <w:rsid w:val="00C26D46"/>
    <w:rsid w:val="00C32A8E"/>
    <w:rsid w:val="00C420F7"/>
    <w:rsid w:val="00C514D3"/>
    <w:rsid w:val="00C517B2"/>
    <w:rsid w:val="00C57D68"/>
    <w:rsid w:val="00C63E77"/>
    <w:rsid w:val="00C7073B"/>
    <w:rsid w:val="00C71D68"/>
    <w:rsid w:val="00C7376C"/>
    <w:rsid w:val="00C74A0C"/>
    <w:rsid w:val="00C759F0"/>
    <w:rsid w:val="00C76838"/>
    <w:rsid w:val="00C8231C"/>
    <w:rsid w:val="00C83652"/>
    <w:rsid w:val="00C86F2E"/>
    <w:rsid w:val="00C905C9"/>
    <w:rsid w:val="00C92488"/>
    <w:rsid w:val="00C95C09"/>
    <w:rsid w:val="00CA3183"/>
    <w:rsid w:val="00CA4A4A"/>
    <w:rsid w:val="00CA4E6D"/>
    <w:rsid w:val="00CB2073"/>
    <w:rsid w:val="00CC0501"/>
    <w:rsid w:val="00CC149A"/>
    <w:rsid w:val="00CD2092"/>
    <w:rsid w:val="00CD6EC3"/>
    <w:rsid w:val="00CE388E"/>
    <w:rsid w:val="00CF0B03"/>
    <w:rsid w:val="00CF3F3C"/>
    <w:rsid w:val="00CF4993"/>
    <w:rsid w:val="00CF53F5"/>
    <w:rsid w:val="00D10B6A"/>
    <w:rsid w:val="00D14A58"/>
    <w:rsid w:val="00D15363"/>
    <w:rsid w:val="00D16A83"/>
    <w:rsid w:val="00D23D8B"/>
    <w:rsid w:val="00D27E5B"/>
    <w:rsid w:val="00D451FC"/>
    <w:rsid w:val="00D47A9C"/>
    <w:rsid w:val="00D5302A"/>
    <w:rsid w:val="00D61D7E"/>
    <w:rsid w:val="00D6240E"/>
    <w:rsid w:val="00D62416"/>
    <w:rsid w:val="00D67F74"/>
    <w:rsid w:val="00D701DE"/>
    <w:rsid w:val="00D72034"/>
    <w:rsid w:val="00D745DD"/>
    <w:rsid w:val="00D75159"/>
    <w:rsid w:val="00D75898"/>
    <w:rsid w:val="00D93E3B"/>
    <w:rsid w:val="00D97067"/>
    <w:rsid w:val="00DB434B"/>
    <w:rsid w:val="00DC3529"/>
    <w:rsid w:val="00DC695A"/>
    <w:rsid w:val="00DD03D3"/>
    <w:rsid w:val="00DD24E2"/>
    <w:rsid w:val="00DD43FB"/>
    <w:rsid w:val="00DE2EF2"/>
    <w:rsid w:val="00DE4C57"/>
    <w:rsid w:val="00DF06DE"/>
    <w:rsid w:val="00DF18FC"/>
    <w:rsid w:val="00DF20FF"/>
    <w:rsid w:val="00E01F4C"/>
    <w:rsid w:val="00E03230"/>
    <w:rsid w:val="00E04120"/>
    <w:rsid w:val="00E1095B"/>
    <w:rsid w:val="00E13C12"/>
    <w:rsid w:val="00E30788"/>
    <w:rsid w:val="00E3695E"/>
    <w:rsid w:val="00E400EE"/>
    <w:rsid w:val="00E42386"/>
    <w:rsid w:val="00E46414"/>
    <w:rsid w:val="00E543BC"/>
    <w:rsid w:val="00E6249C"/>
    <w:rsid w:val="00E6386C"/>
    <w:rsid w:val="00E63EBC"/>
    <w:rsid w:val="00E66640"/>
    <w:rsid w:val="00E67EA7"/>
    <w:rsid w:val="00E74183"/>
    <w:rsid w:val="00E75826"/>
    <w:rsid w:val="00E8443C"/>
    <w:rsid w:val="00E92A8B"/>
    <w:rsid w:val="00E97D73"/>
    <w:rsid w:val="00EA0D2D"/>
    <w:rsid w:val="00EB268E"/>
    <w:rsid w:val="00EB2935"/>
    <w:rsid w:val="00EC42F6"/>
    <w:rsid w:val="00EC5C22"/>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5013"/>
    <w:rsid w:val="00F557F5"/>
    <w:rsid w:val="00F64AA3"/>
    <w:rsid w:val="00F73E6F"/>
    <w:rsid w:val="00F75ABD"/>
    <w:rsid w:val="00F768AC"/>
    <w:rsid w:val="00F90C82"/>
    <w:rsid w:val="00F915D6"/>
    <w:rsid w:val="00F91931"/>
    <w:rsid w:val="00F966D4"/>
    <w:rsid w:val="00FA3E6A"/>
    <w:rsid w:val="00FD2075"/>
    <w:rsid w:val="00FD5705"/>
    <w:rsid w:val="00FE4D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99"/>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ry.Sorrells@systems.tstc.edu"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aron.ferrill@tstc.ed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apitol.state.tx.us/txconst/articles/cn00030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ratliff@tstc.edu" TargetMode="External"/><Relationship Id="rId5" Type="http://schemas.openxmlformats.org/officeDocument/2006/relationships/webSettings" Target="webSettings.xml"/><Relationship Id="rId15" Type="http://schemas.openxmlformats.org/officeDocument/2006/relationships/hyperlink" Target="http://www.capitol.state.tx.us/txconst/toc.html" TargetMode="External"/><Relationship Id="rId23" Type="http://schemas.openxmlformats.org/officeDocument/2006/relationships/theme" Target="theme/theme1.xml"/><Relationship Id="rId10" Type="http://schemas.openxmlformats.org/officeDocument/2006/relationships/hyperlink" Target="mailto:Sharon.ferrill@tstc.ed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jerry.sorrells@tstc.edu" TargetMode="External"/><Relationship Id="rId14" Type="http://schemas.openxmlformats.org/officeDocument/2006/relationships/hyperlink" Target="http://iam.tstc.edu/users/cop/COP9.16-01-13-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19F9-796F-48A5-B049-67548008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8270</Words>
  <Characters>47141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55301</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2011-10-25T18:46:00Z</cp:lastPrinted>
  <dcterms:created xsi:type="dcterms:W3CDTF">2011-10-25T19:10:00Z</dcterms:created>
  <dcterms:modified xsi:type="dcterms:W3CDTF">2011-10-25T19:10:00Z</dcterms:modified>
</cp:coreProperties>
</file>